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3"/>
        <w:keepNext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both"/>
        <w:outlineLvl w:val="2"/>
        <w:rPr>
          <w:rFonts w:ascii="Times New Roman" w:eastAsia="黑体" w:cs="Times New Roman" w:hAnsi="Times New Roman"/>
          <w:b w:val="0"/>
          <w:color w:val="auto"/>
          <w:spacing w:val="-6"/>
          <w:sz w:val="32"/>
          <w:szCs w:val="32"/>
          <w:vertAlign w:val="baseline"/>
          <w:lang w:val="en-US" w:eastAsia="zh-CN" w:bidi="ar-SA"/>
        </w:rPr>
      </w:pPr>
      <w:bookmarkStart w:id="0" w:name="_GoBack"/>
      <w:bookmarkEnd w:id="0"/>
      <w:r>
        <w:rPr>
          <w:rFonts w:ascii="黑体" w:eastAsia="黑体" w:cs="黑体" w:hAnsi="黑体" w:hint="eastAsia"/>
          <w:b w:val="0"/>
          <w:color w:val="auto"/>
          <w:spacing w:val="-6"/>
          <w:sz w:val="32"/>
          <w:szCs w:val="32"/>
          <w:vertAlign w:val="baseline"/>
          <w:lang w:eastAsia="zh-CN" w:bidi="ar-SA"/>
        </w:rPr>
        <w:t>附件</w:t>
      </w:r>
      <w:r>
        <w:rPr>
          <w:rFonts w:ascii="Times New Roman" w:eastAsia="黑体" w:cs="Times New Roman" w:hAnsi="Times New Roman"/>
          <w:b w:val="0"/>
          <w:color w:val="auto"/>
          <w:spacing w:val="-6"/>
          <w:sz w:val="32"/>
          <w:szCs w:val="32"/>
          <w:vertAlign w:val="baseline"/>
          <w:lang w:val="en-US" w:eastAsia="zh-CN" w:bidi="ar-SA"/>
        </w:rPr>
        <w:t>1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outlineLvl w:val="2"/>
        <w:rPr>
          <w:rFonts w:ascii="Times New Roman" w:eastAsia="方正小标宋_GBK" w:cs="Times New Roman" w:hAnsi="Times New Roman"/>
          <w:b w:val="0"/>
          <w:color w:val="auto"/>
          <w:spacing w:val="-6"/>
          <w:sz w:val="40"/>
          <w:szCs w:val="40"/>
          <w:vertAlign w:val="baseline"/>
          <w:lang w:bidi="ar-SA"/>
        </w:rPr>
      </w:pPr>
      <w:r>
        <w:rPr>
          <w:rFonts w:ascii="Times New Roman" w:eastAsia="方正小标宋_GBK" w:cs="Times New Roman" w:hAnsi="Times New Roman"/>
          <w:b w:val="0"/>
          <w:color w:val="auto"/>
          <w:spacing w:val="-6"/>
          <w:sz w:val="40"/>
          <w:szCs w:val="40"/>
          <w:vertAlign w:val="baseline"/>
          <w:lang w:bidi="ar-SA"/>
        </w:rPr>
        <w:t>中共攀枝花市委办公室</w:t>
      </w:r>
      <w:r>
        <w:rPr>
          <w:rFonts w:ascii="Times New Roman" w:eastAsia="方正小标宋_GBK" w:cs="Times New Roman" w:hAnsi="Times New Roman"/>
          <w:b w:val="0"/>
          <w:color w:val="auto"/>
          <w:spacing w:val="-6"/>
          <w:sz w:val="40"/>
          <w:szCs w:val="40"/>
          <w:vertAlign w:val="baseline"/>
          <w:lang w:bidi="ar-SA"/>
        </w:rPr>
        <w:t xml:space="preserve"> </w:t>
      </w:r>
      <w:r>
        <w:rPr>
          <w:rFonts w:ascii="Times New Roman" w:eastAsia="方正小标宋_GBK" w:cs="Times New Roman" w:hAnsi="Times New Roman" w:hint="eastAsia"/>
          <w:b w:val="0"/>
          <w:color w:val="auto"/>
          <w:spacing w:val="-6"/>
          <w:sz w:val="40"/>
          <w:szCs w:val="40"/>
          <w:vertAlign w:val="baseline"/>
          <w:lang w:bidi="ar-SA"/>
        </w:rPr>
        <w:t>攀枝花市人民政府办公室</w:t>
      </w:r>
    </w:p>
    <w:p>
      <w:pPr>
        <w:pStyle w:val="3"/>
        <w:keepNext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outlineLvl w:val="2"/>
        <w:rPr>
          <w:rFonts w:ascii="Times New Roman" w:eastAsia="方正小标宋_GBK" w:cs="Times New Roman" w:hAnsi="Times New Roman"/>
          <w:b w:val="0"/>
          <w:color w:val="auto"/>
          <w:sz w:val="40"/>
          <w:szCs w:val="40"/>
          <w:vertAlign w:val="baseline"/>
          <w:lang w:bidi="ar-SA"/>
        </w:rPr>
      </w:pPr>
      <w:r>
        <w:rPr>
          <w:rFonts w:ascii="Times New Roman" w:eastAsia="方正小标宋_GBK" w:cs="Times New Roman" w:hAnsi="Times New Roman" w:hint="eastAsia"/>
          <w:b w:val="0"/>
          <w:color w:val="auto"/>
          <w:sz w:val="40"/>
          <w:szCs w:val="40"/>
          <w:vertAlign w:val="baseline"/>
          <w:lang w:bidi="ar-SA"/>
        </w:rPr>
        <w:t>关于开展园区提质行动助推高质量发展</w:t>
      </w:r>
    </w:p>
    <w:p>
      <w:pPr>
        <w:pStyle w:val="3"/>
        <w:keepNext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760" w:lineRule="exact"/>
        <w:ind w:left="0" w:right="0" w:firstLine="0"/>
        <w:jc w:val="center"/>
        <w:outlineLvl w:val="2"/>
        <w:rPr>
          <w:rFonts w:ascii="Times New Roman" w:eastAsia="方正小标宋_GBK" w:cs="Times New Roman" w:hAnsi="Times New Roman"/>
          <w:b w:val="0"/>
          <w:color w:val="auto"/>
          <w:sz w:val="40"/>
          <w:szCs w:val="40"/>
          <w:vertAlign w:val="baseline"/>
          <w:lang w:bidi="ar-SA"/>
        </w:rPr>
      </w:pPr>
      <w:r>
        <w:rPr>
          <w:rFonts w:ascii="Times New Roman" w:eastAsia="方正小标宋_GBK" w:cs="Times New Roman" w:hAnsi="Times New Roman" w:hint="eastAsia"/>
          <w:b w:val="0"/>
          <w:color w:val="auto"/>
          <w:sz w:val="40"/>
          <w:szCs w:val="40"/>
          <w:vertAlign w:val="baseline"/>
          <w:lang w:bidi="ar-SA"/>
        </w:rPr>
        <w:t>的通知（代拟稿）</w:t>
      </w:r>
    </w:p>
    <w:p>
      <w:pPr>
        <w:pStyle w:val="16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</w:p>
    <w:p>
      <w:pPr>
        <w:pStyle w:val="16"/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仿宋_GB2312" w:hAnsi="Times New Roman" w:hint="eastAsia"/>
          <w:color w:val="auto"/>
          <w:sz w:val="32"/>
          <w:szCs w:val="32"/>
          <w:vertAlign w:val="baseline"/>
          <w:lang w:bidi="ar-SA"/>
        </w:rPr>
        <w:t>各县（区）党委和人民政府，国家钒钛高新区党工委和管委会，市直有关部门：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园区是产业发展的重要载体，是引领经济高质量发展的主阵地、主战场。为推动园区高质量发展，市委、市政府决定在全市园区开展提质行动。现将有关事项通知如下。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黑体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黑体" w:cs="黑体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一、工作</w:t>
      </w:r>
      <w:r>
        <w:rPr>
          <w:rFonts w:ascii="Times New Roman" w:eastAsia="黑体" w:cs="黑体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阶段</w:t>
      </w:r>
      <w:r>
        <w:rPr>
          <w:rFonts w:ascii="Times New Roman" w:eastAsia="黑体" w:cs="黑体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安排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坚持以习近平新时代中国特色社会主义思想为指导，深入贯彻党中央国务院、省委省政府部署要求，紧紧围绕市委“两试引领、五市并进、共富共美”工作体系，完整、准确、全面贯彻新发展理念，服务和融入新发展格局，以加速科技成果转化为抓手，以培育做强产业集群为重点，以建设高能级人才平台为关键，打造一批产业特色鲜明、“四链”融合发展、竞争能力突出、运行机制高效的现代化园区，助推特色优势产业迭代升级、战略性新兴产业培育壮大，推动产业建圈强链走深走实，不断夯实共同富裕物质技术基础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第一阶段</w:t>
      </w:r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：</w:t>
      </w:r>
      <w:bookmarkStart w:id="1" w:name="OLE_LINK4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一年转形象、求突破</w:t>
      </w:r>
      <w:bookmarkEnd w:id="1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2025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年底，完成全市园区优化整合和产业定位优化，形成重点突出、错位协同的产业布局。新增省级开发区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3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个，形成千亿级园区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个、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200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亿级园区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3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个、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100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亿级园区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1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个。园区“四上企业”达到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650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户以上，高新技术企业达到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80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家，园区亩均营业收入增长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7.5%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，进出口实绩企业达到40户以上，跨境电商实现零突破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。省级化工园区安全风险等级升级为较低风险等级。基础设施提标升级、运营机制有序高效、</w:t>
      </w:r>
      <w:bookmarkStart w:id="2" w:name="_Hlk193051884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产业要素加快集聚</w:t>
      </w:r>
      <w:bookmarkEnd w:id="2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第二阶段：</w:t>
      </w:r>
      <w:bookmarkStart w:id="3" w:name="OLE_LINK5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三年大变样、显成效</w:t>
      </w:r>
      <w:bookmarkEnd w:id="3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2027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年，</w:t>
      </w:r>
      <w:bookmarkStart w:id="4" w:name="_Hlk193052044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园区产业集聚发展取得新突破，</w:t>
      </w:r>
      <w:bookmarkEnd w:id="4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集群成链态势不断显现，在全省竞争力持续增强。园区“四上企业”达到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750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户，高新技术企业达到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95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家以上，园区亩均营业收入年均增长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8%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以上，进出口实绩企业达到60户以上。园区在国省级园区排名提档进位，服务设施更加完善、产业特色更加突出、发展动力更加强劲，</w:t>
      </w:r>
      <w:bookmarkStart w:id="5" w:name="_Hlk193052100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产业生态加速形成，经济发展主战场地位进一步凸显。</w:t>
      </w:r>
      <w:bookmarkEnd w:id="5"/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第三阶段：五年提档次、创一流。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2029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年，</w:t>
      </w:r>
      <w:bookmarkStart w:id="6" w:name="_Hlk193052135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建成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2000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亿级园区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1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个、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1500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亿级园区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1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个、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500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亿级园区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个、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300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亿级园区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个，</w:t>
      </w:r>
      <w:bookmarkEnd w:id="6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“四上企业”达到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900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户，高新技术企业达到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120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家，进出口实绩企业达到80户以上。</w:t>
      </w:r>
      <w:bookmarkStart w:id="7" w:name="_Hlk193052166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战略性新兴产业不断壮大，新质生产力发展取得显著成效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，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园区生产环境现代、生活环境宜居、生态环境优美，专业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服务能力、开放合作和国际化水平大幅提升，</w:t>
      </w:r>
      <w:bookmarkEnd w:id="7"/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成为全省高质量发展的重要增长极和重要动力源。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黑体" w:cs="黑体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二、重点任务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楷体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（一）</w:t>
      </w:r>
      <w:bookmarkStart w:id="8" w:name="OLE_LINK6"/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科学规划优布局</w:t>
      </w:r>
      <w:bookmarkEnd w:id="8"/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1.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编制发展规划。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科学分析发展新趋势，统筹辖区资源禀赋、土地利用、产业发展、基础配套、安全环保等要素，各园区科学编制园区发展规划，市级相关部门应做好相关指导服务。各园区发展规划要与国家和省级开发区有关规划、国土空间规划等各级各类规划有机衔接。鼓励探索“多规合一”“一张图”统筹空间布局、基础设施、产业选择与项目建设，推动园区要素集聚、产业集聚和项目集聚。</w:t>
      </w:r>
      <w:bookmarkStart w:id="9" w:name="_Hlk192979218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〔</w:t>
      </w:r>
      <w:bookmarkStart w:id="10" w:name="_Hlk192979164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bookmarkEnd w:id="9"/>
      <w:bookmarkEnd w:id="10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国家钒钛高新区管委会、各县（区）政府；市发展改革委、市经济和信息化局、市科技局、市生态环境局、市自然资源和规划局、市住房城乡建设局、市商务局，分号前为牵头单位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,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下同〕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2.</w:t>
      </w:r>
      <w:bookmarkStart w:id="11" w:name="_Hlk193052360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优化产业布局</w:t>
      </w:r>
      <w:bookmarkEnd w:id="11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落实国家和省部署要求，划清园区四至边界，明确发展定位，确定产业主攻方向，推动园区产业布局优化。聚焦细分赛道打造“园中园”，在钒钛低微合金耐磨铸造、氢能、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光电信息、低空经济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等重点领域规划建设一批主导产业明确、专业分工合理、差异发展鲜明的特色产业集中区、绿色低碳产业示范区等产业功能区，促进园区内部多点支撑，产业集聚发展。按照“以产促城、以产兴城、产城共生”可持续发展模式，通过空间重构、产业升级、服务优化，打造“生产、生活、生态”三位一体的现代化产业新城。</w:t>
      </w:r>
      <w:bookmarkStart w:id="12" w:name="_Hlk192979241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bookmarkEnd w:id="12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市经济和信息化局；市发展改革委、市自然资源和规划局、市生态环境局、市经济合作局、国家钒钛高新区管委会、各县（区）政府〕</w:t>
      </w:r>
    </w:p>
    <w:p>
      <w:pPr>
        <w:pStyle w:val="1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3.</w:t>
      </w:r>
      <w:bookmarkStart w:id="13" w:name="_Hlk193052376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推动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错位发展</w:t>
      </w:r>
      <w:bookmarkEnd w:id="13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引导各园区聚焦全国全省重大生产力布局和区域发展战略，因地制宜围绕重点产业链布局主导产业，原则上每个园区的主导产业不超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过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3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个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（开发区整合化工园区的，开发区和化工园区主导产业各不超过3个）</w:t>
      </w:r>
      <w:r>
        <w:rPr>
          <w:rFonts w:ascii="仿宋_GB2312" w:eastAsia="仿宋_GB2312" w:cs="仿宋_GB2312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。注重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园区之间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、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园区内产业链分工协同，功能优势互补，配套设施、技术平台等资源共建共享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，推动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形成产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业特色鲜明、</w:t>
      </w:r>
      <w:r>
        <w:rPr>
          <w:rFonts w:ascii="Times New Roman" w:eastAsia="仿宋_GB2312" w:cs="仿宋_GB2312" w:hAnsi="Times New Roman"/>
          <w:color w:val="000000"/>
          <w:kern w:val="0"/>
          <w:sz w:val="32"/>
          <w:szCs w:val="32"/>
          <w:vertAlign w:val="baseline"/>
          <w:lang w:val="en-US" w:eastAsia="zh-CN" w:bidi="ar-SA"/>
        </w:rPr>
        <w:t>关联协同紧密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的错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位发展新格局。〔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市经济和信息化局；市发展改革委、市科技局、市商务局、市经济合作局、国家钒钛高新区管委会、各县（区）政府〕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（二）产业集聚提能级。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b/>
          <w:bCs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4.</w:t>
      </w:r>
      <w:bookmarkStart w:id="14" w:name="_Hlk193052434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狠抓优质企业引育</w:t>
      </w:r>
      <w:bookmarkEnd w:id="14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围绕抓龙头补短板强弱项，聚焦主攻产业实施精准招商，招引国内外优质企业入驻。实施重点企业梯次培优行动，培育一批龙头企业。为“单项冠军”、专精特新“小巨人”企业等提供场景示范、市场开拓、产业融通、上市辅导等专业化服务，打好中小企业培育攻坚战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市经济合作局、市经济和信息化局；市发展改革委、市科技局、市财政局、市市场监管局、国家钒钛高新区管委会、各县（区）政府〕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5.</w:t>
      </w:r>
      <w:bookmarkStart w:id="15" w:name="_Hlk193052449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强化圈链集聚发展</w:t>
      </w:r>
      <w:bookmarkEnd w:id="15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聚焦工业领域“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5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圈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13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链”，推进重点产业建圈强链。鼓励多园区分工协作、资源共享、串“珠”成“链”，培育一批战略性新兴产业集群、先进制造业集群、中小企业特色产业集群，形成具有全国全省影响力的钒钛钢铁新材料、清洁能源、绿色化工等特色优势产业集聚区，</w:t>
      </w:r>
      <w:bookmarkStart w:id="16" w:name="_Hlk193052517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打造若干辨识度高具有攀枝花特色的产业地标。</w:t>
      </w:r>
      <w:bookmarkEnd w:id="16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市经济和信息化局；市发展改革委、市科技局、市自然资源和规划局、市商务局、市经济合作局、国家钒钛高新区管委会、各县（区）政府〕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b/>
          <w:bCs/>
          <w:color w:val="000000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6.</w:t>
      </w:r>
      <w:bookmarkStart w:id="17" w:name="_Hlk193052469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提高产业发展质效</w:t>
      </w:r>
      <w:bookmarkEnd w:id="17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统筹各类要素保障，推动产业高端化、绿色化、数字化。构建园区绿色低碳的产业体系，把生态优势转化为发展优势。支持创建国省级生态示范园区、循环化改造示范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试点园区、绿色低碳园区，支持企业创建绿色工厂、智能工厂、智能车间等。〔</w:t>
      </w:r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市经济和信息化局；市发展改革委、市生态环境局、国家钒钛高新区管委会、各县（区）政府〕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（三）基础提升强承载。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7.</w:t>
      </w:r>
      <w:bookmarkStart w:id="18" w:name="_Hlk193052617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加强基础设施建设</w:t>
      </w:r>
      <w:bookmarkEnd w:id="18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以“九通一平”为标准，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加快园区道路、雨水、污水、自来水、燃气、电力、电信、热力及有线电视管线等基础设施建设和土地自然地貌平整，努力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做到“拿地即可开工”，缩短项目建设周期。不断完善园区绿化、危废处理、固废渣场等基础设施。补齐化工园区监测预警等基础设施短板，确保钒钛化工园区、格里坪化工园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2025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年安全等级由一般风险等级（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C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级）升级为较低风险等级（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D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级）。〔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国家钒钛高新区管委会、各县（区）政府；市发展改革委、市经济和信息化局</w:t>
      </w:r>
      <w:r>
        <w:rPr>
          <w:rFonts w:ascii="Times New Roman" w:eastAsia="仿宋_GB2312" w:cs="仿宋_GB2312" w:hAnsi="Times New Roman"/>
          <w:color w:val="000000"/>
          <w:kern w:val="0"/>
          <w:sz w:val="32"/>
          <w:szCs w:val="32"/>
          <w:vertAlign w:val="baseline"/>
          <w:lang w:val="en-US" w:eastAsia="zh-CN" w:bidi="ar-SA"/>
        </w:rPr>
        <w:t>、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市自然资源和规划局、市生态环境局、市水利局、市商务局、市应急管理局〕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b/>
          <w:bCs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8.</w:t>
      </w:r>
      <w:bookmarkStart w:id="19" w:name="_Hlk193052631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完善配套设施功能</w:t>
      </w:r>
      <w:bookmarkEnd w:id="19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推进标准化厂房、标准化仓库、办公用房等生产服务配套设施建设，加快完善园区检验检测、电子商务等公共服务平台，推动园区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5G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基站、工业互联网、大数据中心、新能源汽车充电桩等新型配套设施建设。以建设生产服务型国家物流枢纽为契机，以金江、密地等物流园区为依托，打造现代物流基地，推动物流降本增效。〔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国家钒钛高新区管委会、各县（区）人民政府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；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市发展改革委、市经济和信息化局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、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市交通运输局、市商务局〕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9.</w:t>
      </w:r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构</w:t>
      </w:r>
      <w:bookmarkStart w:id="20" w:name="_Hlk193052649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建智能化营运体系</w:t>
      </w:r>
      <w:bookmarkEnd w:id="20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建立园区数据中枢平台，实现招商趋势预测、安全风险预警、能耗优化建议等智能应用场景。建立智能安防监控系统与应急指挥平台，实现火灾、污染等隐患的实时预警与闭环管理。开发企业服务门户，提供一站式办事审批、政策咨询、供需对接等服务。搭建产学研协作平台，促进创新资源共享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国家钒钛高新区管委会、各县（区）人民政府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；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市发展改革委、市经济和信息化局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、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市科技局、市生态环境局、市应急管理局、市经济合作局、市政务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管理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局〕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（四）科技创新促转化。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b/>
          <w:bCs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10.</w:t>
      </w:r>
      <w:bookmarkStart w:id="21" w:name="_Hlk193052756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加大科技攻关力度</w:t>
      </w:r>
      <w:bookmarkEnd w:id="21"/>
      <w:r>
        <w:rPr>
          <w:rFonts w:ascii="Times New Roman" w:eastAsia="仿宋_GB2312" w:cs="仿宋_GB2312" w:hAnsi="Times New Roman" w:hint="eastAsia"/>
          <w:b/>
          <w:bCs/>
          <w:color w:val="000000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围绕产业发展需求，重点在钒钛领域推进高温钛合金材料、钛合金挤压型材等关键基础材料攻关，推动非高炉工艺冶炼钒钛磁铁矿生产技术、</w:t>
      </w:r>
      <w:r>
        <w:rPr>
          <w:rFonts w:ascii="Times New Roman" w:eastAsia="仿宋_GB2312" w:cs="Times New Roman" w:hAnsi="Times New Roman"/>
          <w:color w:val="000000"/>
          <w:kern w:val="0"/>
          <w:sz w:val="32"/>
          <w:szCs w:val="32"/>
          <w:vertAlign w:val="baseline"/>
          <w:lang w:val="en-US" w:eastAsia="zh-CN" w:bidi="ar-SA"/>
        </w:rPr>
        <w:t>60kt/a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大型熔盐氯化法钛白成套工艺等“卡脖子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”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技术攻关，推广钒渣提钒、钛废料回收利用等资源综合利用技术，提高资源利用水平。〔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市科技局；市发展改革委、市经济和信息化局、国家钒钛高新区管委会、各县（区）政府〕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11.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打造高能级科创平台。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以攀西战略资源创新开发试验区为引领，高水平筹建天府金江实验室、氢（能）技术创新中心，推动钒钛资源综合利用相关实验室纳入国家创新平台体系，推进国家技术转移西南中心攀西分中心建设，推动四川钒钛产业技术研究院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能力提升、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四川省钒钛新材料创新中心提档升级，建设一批省市级技术创新中心、企业技术中心，构建多层次产业科技创新平台。〔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市科技局；市发展改革委、市经济和信息化局、国家钒钛高新区管委会、各县（区）政府〕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12.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推进科技成果转移转化。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支持众创空间、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科技企业孵化器、成果转化基地等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创新创业载体建设，构建“概念验证—中试孵化—产业化应用”全链条科技成果转化体系。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支持高校、科研院所、检验检测机构等对外开放大型科研仪器。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建设一批高水平技术转移机构，培育技术转移专业化服务队伍。加快攀枝花“线上+线下”科创生态岛建设，形成要素聚集、科技服务、成果展示和产业孵育为一体的综合性科技创新成果转化聚集区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推动科技基础设施、创新平台、科研院所、中试平台等与园区强化利益联结，促进更多成果在园区就地转移转化。〔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市科技局；市发展改革委、市经济和信息化局、国家钒钛高新区管委会、各县（区）政府〕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（五）扩权赋能增活力。</w:t>
      </w:r>
    </w:p>
    <w:p>
      <w:pPr>
        <w:pStyle w:val="1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13.</w:t>
      </w:r>
      <w:bookmarkStart w:id="22" w:name="_Hlk193052969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创新运营管理体制机制</w:t>
      </w:r>
      <w:bookmarkEnd w:id="22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规范园区管理机构，支持园区探索新型治理模式，通过外部引进成熟机构、内部培育专业团队等方式，打造一批专业化的园区管理团队，培育一批懂产业、善管理、强服务的运营服务团队。支持市、县（区）两级服务园区发展的国有企业向产业孵化培育与集成运营主体转变，鼓励央企、省属国企参与园区建设运营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国家钒钛高新区管委会、各县（区）政府；市委组织部、市委编办、市人力资源社会保障局、市国资委、市政务管理局、〕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14.</w:t>
      </w:r>
      <w:bookmarkStart w:id="23" w:name="_Hlk193052994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探索审批权限下放</w:t>
      </w:r>
      <w:bookmarkEnd w:id="23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按照“应放尽放、宜放则放、权责一致”原则，在符合相关规定的前提下，探索将能够下放的审批管理权限按程序下放园区，由县（区）政府逐一制定园区管理机构赋权清单，推动政务服务窗口向园区延伸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,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做到“园区事园区办、企业办事不出园”。〔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bookmarkStart w:id="24" w:name="_Hlk192980960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市政务管理局</w:t>
      </w:r>
      <w:bookmarkEnd w:id="24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；市发展改革委、市经济和信息化局、市司法局、市自然资源和规划局、市生态环境局、市住房城乡建设局、市应急管理局、国家钒钛高新区管委会、各县（区）政府〕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（六）尊商重商优环境。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15.</w:t>
      </w:r>
      <w:bookmarkStart w:id="25" w:name="OLE_LINK7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提升行政服务质效</w:t>
      </w:r>
      <w:bookmarkEnd w:id="25"/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深入开展“进万企、解难题、优环境、促发展”工作，建立企业“网格化”服务体系，健全企业问题诉求直报办理“啄木鸟”机制，形成“收集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-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办理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-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反馈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-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问效”工作合力和落实闭环，</w:t>
      </w:r>
      <w:bookmarkStart w:id="26" w:name="OLE_LINK8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提速化解企业困难问题</w:t>
      </w:r>
      <w:bookmarkEnd w:id="26"/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。发挥媒体建设性监督作用，进一步畅通企业诉求困难反馈解决渠道，动态发布惠企政策事项清单，强化惠企政策宣传和刚性兑现，推进惠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企助困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政策“免申即享、</w:t>
      </w:r>
      <w:r>
        <w:rPr>
          <w:rFonts w:ascii="Times New Roman" w:eastAsia="仿宋_GB2312" w:cs="仿宋_GB2312" w:hAnsi="Times New Roman"/>
          <w:color w:val="000000"/>
          <w:kern w:val="0"/>
          <w:sz w:val="32"/>
          <w:szCs w:val="32"/>
          <w:vertAlign w:val="baseline"/>
          <w:lang w:val="en-US" w:eastAsia="zh-CN" w:bidi="ar-SA"/>
        </w:rPr>
        <w:t>代申代办、</w:t>
      </w:r>
      <w:r>
        <w:rPr>
          <w:rFonts w:ascii="Times New Roman" w:eastAsia="仿宋_GB2312" w:cs="仿宋_GB2312" w:hAnsi="Times New Roman" w:hint="eastAsia"/>
          <w:color w:val="000000"/>
          <w:kern w:val="0"/>
          <w:sz w:val="32"/>
          <w:szCs w:val="32"/>
          <w:vertAlign w:val="baseline"/>
          <w:lang w:val="en-US" w:eastAsia="zh-CN" w:bidi="ar-SA"/>
        </w:rPr>
        <w:t>易申快享”，实现政策红利快速直达，推动税费减免、生产要素保障降本等政策红利更多更快直达市场经营主体，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提升企业获得感。〔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市经济和信息化局；市委宣传部、市发展改革委、市政府管理局、国家钒钛高新区管委会、各县（区）政府〕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16.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2"/>
          <w:sz w:val="32"/>
          <w:szCs w:val="32"/>
          <w:vertAlign w:val="baseline"/>
          <w:lang w:val="en-US" w:eastAsia="zh-CN" w:bidi="ar-SA"/>
        </w:rPr>
        <w:t>建立项目全生命周期管理机制。</w:t>
      </w:r>
      <w:r>
        <w:rPr>
          <w:rFonts w:ascii="Times New Roman" w:eastAsia="仿宋_GB2312" w:cs="仿宋_GB2312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将重大招引项目纳入全生命周期管理平台统一管理、分级预警，实时统计分析项目情况，提高项目履约率、开工率、达产率，提升招商引资质量和可持续性，打造更具吸引力的营商环境。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市经济合作局；市发展改革委、市经济和信息化局、</w:t>
      </w:r>
      <w:r>
        <w:rPr>
          <w:rFonts w:ascii="Times New Roman" w:eastAsia="仿宋_GB2312" w:cs="仿宋_GB2312" w:hAnsi="Times New Roman" w:hint="eastAsia"/>
          <w:color w:val="auto"/>
          <w:kern w:val="2"/>
          <w:sz w:val="32"/>
          <w:szCs w:val="32"/>
          <w:vertAlign w:val="baseline"/>
          <w:lang w:val="en-US" w:eastAsia="zh-CN" w:bidi="ar-SA"/>
        </w:rPr>
        <w:t>市政务管理局、市级有关单位、国家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黑体" w:cs="Times New Roman" w:hAnsi="Times New Roman"/>
          <w:color w:val="auto"/>
          <w:kern w:val="0"/>
          <w:sz w:val="32"/>
          <w:szCs w:val="32"/>
          <w:vertAlign w:val="baseline"/>
          <w:lang w:bidi="ar-SA"/>
        </w:rPr>
      </w:pPr>
      <w:r>
        <w:rPr>
          <w:rFonts w:ascii="Times New Roman" w:eastAsia="黑体" w:cs="黑体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三、强化要素支撑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（一）强化人才队伍建设。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依托产业人才政策举措，持续推进招才引智，招引一批特色产业领军人才和团队。支持园区企业申报本市人才培养项目和重点产业领域人才专项，支持园区企业开展职业技能等级认定，建设技能大师工作室。支持建立园区、学校、企业融合的市域产教联合体，定制化培育技能型人才，为园区高质量发展提供人才支撑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市委人才办、市教育和体育局、市人力资源社会保障局；国家钒钛高新区管委会、各县（区）政府〕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b/>
          <w:bCs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（二）强化政策资金支持。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加大各类财政资金对园区的支持力度，积极组织园区申报争取各类财政资金补助。运用好各类政策性金融工具，支持园区开发运营主体通过基础设施领域不动产投资信托基金、银行信贷、债券发行、信托保险、挂牌上市等多种方式拓展融资渠道。深入研究国家和省上政策支持方向，对有利于园区高质量发展的政策、资金和项目紧抓不放、持续跟进，确保落实到位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市财政局；市发展改革委、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人民银行攀枝花市分行、攀枝花市金融监管分局、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（三）强化生产要素保障。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优先保障园区项目建设用地，深化“亩均论英雄”改革。建立完善“煤、电、油、气、运”等生产要素保障调度、预警预测机制，优化供给服务。降低企业用能、用工、用地、物流、融资成本，进一步推动企业减负降本，提振发展信心。〔</w:t>
      </w:r>
      <w:r>
        <w:rPr>
          <w:rFonts w:ascii="Times New Roman" w:eastAsia="仿宋_GB2312" w:cs="仿宋_GB2312" w:hAnsi="Times New Roman" w:hint="eastAsia"/>
          <w:b/>
          <w:bCs/>
          <w:color w:val="auto"/>
          <w:kern w:val="0"/>
          <w:sz w:val="32"/>
          <w:szCs w:val="32"/>
          <w:vertAlign w:val="baseline"/>
          <w:lang w:val="en-US" w:eastAsia="zh-CN" w:bidi="ar-SA"/>
        </w:rPr>
        <w:t>责任单位：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市经济和信息化局；市发展改革委、市交通运输局、市自然资源和规划局、市商务局、市财政局、</w:t>
      </w:r>
      <w:r>
        <w:rPr>
          <w:rFonts w:ascii="Times New Roman" w:eastAsia="仿宋_GB2312" w:cs="仿宋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人民银行攀枝花市分行、攀枝花市金融监管分局、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国家钒钛高新区管委会、各县（区）政府〕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both"/>
        <w:outlineLvl w:val="9"/>
        <w:rPr>
          <w:rFonts w:ascii="Times New Roman" w:eastAsia="黑体" w:cs="Times New Roman" w:hAnsi="Times New Roman"/>
          <w:color w:val="auto"/>
          <w:kern w:val="0"/>
          <w:sz w:val="32"/>
          <w:szCs w:val="32"/>
          <w:vertAlign w:val="baseline"/>
          <w:lang w:bidi="ar-SA"/>
        </w:rPr>
      </w:pPr>
      <w:r>
        <w:rPr>
          <w:rFonts w:ascii="Times New Roman" w:eastAsia="黑体" w:cs="黑体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四、保障措施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（一）加强组织领导。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加强对推进全市园区高质量发展工作的统筹协调，建立协调服务机制。市级有关部门要提前介入、主动跟进、共同推进，及时协调园区高质量发展中存在的具体问题和困难。各县（区）政府、园区管委会要发挥主观能动性，按照“一区一计划、一园一方案、一企一政策、一年一评估”的原则，优化完善园区发展计划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（二）推动责任落实。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市级有关部门要各司其职、各尽其责、密切配合，建立完善工作机制，细化政策措施。县（区）政府要落实属地主体责任，建立统筹协调机制，研究制定本辖区具体实施方案和政策措施，整合资源力量全面统筹推进园区高质量发展各项工作。园区管委会要明确目标、细化任务，确保推进园区高质量发展的各项措施落地见效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left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楷体_GB2312" w:cs="楷体_GB2312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（三）强化考核评价。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坚持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“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考准、及时、简便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”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原则，开展园区提质行动工作落实情况的监督和评估，分年度制定工作推进计划，明确责任主体，强化动态管理，将年度计划列入有关职能部门的目标绩效考核内容，加快形成你追我赶、梯次支撑、竞相发展态势。加大推进园区提质行动工作的宣传推广，树立典型，及时总结先进经验。</w:t>
      </w:r>
    </w:p>
    <w:p>
      <w:pPr>
        <w:pStyle w:val="1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right"/>
        <w:outlineLvl w:val="9"/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 xml:space="preserve">     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中共攀枝花市委办公室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right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攀枝花市人民政府办公室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Chars="200" w:firstLine="640"/>
        <w:jc w:val="right"/>
        <w:outlineLvl w:val="9"/>
        <w:rPr>
          <w:rFonts w:ascii="Times New Roman" w:eastAsia="仿宋_GB2312" w:cs="Times New Roman" w:hAnsi="Times New Roman"/>
          <w:color w:val="auto"/>
          <w:sz w:val="32"/>
          <w:szCs w:val="32"/>
          <w:vertAlign w:val="baseline"/>
          <w:lang w:bidi="ar-SA"/>
        </w:rPr>
      </w:pP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>2025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年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4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月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 xml:space="preserve">xx </w:t>
      </w:r>
      <w:r>
        <w:rPr>
          <w:rFonts w:ascii="Times New Roman" w:eastAsia="仿宋_GB2312" w:cs="仿宋_GB2312" w:hAnsi="Times New Roman" w:hint="eastAsia"/>
          <w:color w:val="auto"/>
          <w:kern w:val="0"/>
          <w:sz w:val="32"/>
          <w:szCs w:val="32"/>
          <w:vertAlign w:val="baseline"/>
          <w:lang w:val="en-US" w:eastAsia="zh-CN" w:bidi="ar-SA"/>
        </w:rPr>
        <w:t>日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vertAlign w:val="baseline"/>
          <w:lang w:val="en-US" w:eastAsia="zh-CN" w:bidi="ar-SA"/>
        </w:rPr>
        <w:t xml:space="preserve">        </w:t>
      </w:r>
    </w:p>
    <w:p>
      <w:pPr>
        <w:pStyle w:val="16"/>
        <w:keepNext w:val="0"/>
        <w:keepLines w:val="0"/>
        <w:pageBreakBefore w:val="0"/>
        <w:widowControl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outlineLvl w:val="9"/>
        <w:rPr>
          <w:rFonts w:eastAsia="仿宋_GB2312"/>
          <w:color w:val="000000"/>
          <w:sz w:val="32"/>
          <w:szCs w:val="32"/>
          <w:vertAlign w:val="baseline"/>
          <w:lang w:val="en-US"/>
        </w:rPr>
      </w:pPr>
    </w:p>
    <w:p/>
    <w:sectPr>
      <w:pgSz w:w="11906" w:h="16838"/>
      <w:pgMar w:top="2098" w:right="1800" w:bottom="1984" w:left="1587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A00002AF" w:usb1="500078FB" w:usb2="00000000" w:usb3="00000000" w:csb0="6000009F" w:csb1="DFD7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B0500000000000000"/>
    <w:charset w:val="86"/>
    <w:family w:val="auto"/>
    <w:pitch w:val="variable"/>
    <w:sig w:usb0="30000083" w:usb1="2BDF3C10" w:usb2="00000016" w:usb3="00000000" w:csb0="602E0107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bestFit" w:percent="100"/>
  <w:bordersDoNotSurroundHeader/>
  <w:bordersDoNotSurroundFooter/>
  <w:defaultTabStop w:val="420"/>
  <w:drawingGridHorizontalSpacing w:val="18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doNotSuppressIndentation/>
    <w:splitPgBreakAndParaMark/>
    <w:compatSetting w:name="compatibilityMode" w:uri="http://schemas.microsoft.com/office/word" w:val="11"/>
  </w:compat>
  <w:docVars>
    <w:docVar w:name="commondata" w:val="eyJoZGlkIjoiZGU3NmUwNjRjMTE1ZGIyNmIxM2ZkYzRiZWJkNjkzMz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suppressAutoHyphens/>
      <w:bidi w:val="0"/>
      <w:jc w:val="both"/>
    </w:pPr>
    <w:rPr>
      <w:rFonts w:ascii="Calibri" w:eastAsia="宋体" w:cs="Times New Roman" w:hAnsi="Calibri"/>
      <w:color w:val="auto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spacing w:before="100" w:beforeAutospacing="1" w:after="100" w:afterAutospacing="1"/>
      <w:jc w:val="left"/>
      <w:outlineLvl w:val="2"/>
    </w:pPr>
    <w:rPr>
      <w:rFonts w:ascii="宋体" w:eastAsia="宋体" w:cs="宋体"/>
      <w:b/>
      <w:kern w:val="0"/>
      <w:sz w:val="27"/>
      <w:szCs w:val="27"/>
      <w:lang w:val="en-US" w:eastAsia="zh-CN" w:bidi="ar-SA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 w:afterAutospacing="0"/>
    </w:pPr>
  </w:style>
  <w:style w:type="paragraph" w:styleId="16">
    <w:name w:val="Normal (Web)"/>
    <w:basedOn w:val="0"/>
    <w:pPr>
      <w:keepNext w:val="0"/>
      <w:keepLines w:val="0"/>
      <w:widowControl w:val="0"/>
      <w:suppressLineNumbers w:val="0"/>
      <w:suppressAutoHyphens/>
      <w:autoSpaceDE w:val="0"/>
      <w:autoSpaceDN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宋体" w:cs="Times New Roman" w:hAnsi="Times New Roman"/>
      <w:kern w:val="0"/>
      <w:sz w:val="24"/>
      <w:szCs w:val="22"/>
      <w:lang w:val="en-US" w:eastAsia="zh-CN" w:bidi="ar-SA"/>
    </w:rPr>
  </w:style>
  <w:style w:type="paragraph" w:customStyle="1" w:styleId="17">
    <w:name w:val="1级标题"/>
    <w:basedOn w:val="0"/>
    <w:next w:val="15"/>
    <w:pPr>
      <w:tabs>
        <w:tab w:val="center" w:pos="4153"/>
        <w:tab w:val="right" w:pos="8306"/>
      </w:tabs>
      <w:snapToGrid w:val="0"/>
      <w:spacing w:line="560" w:lineRule="exact"/>
    </w:pPr>
    <w:rPr>
      <w:rFonts w:ascii="仿宋_GB2312" w:eastAsia="黑体" w:hAnsi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2B3E92D-DDB8-4895-961A-FD391A1E7DD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14092503</TotalTime>
  <Application>Yozo_Office27021597764231179</Application>
  <Pages>12</Pages>
  <Words>0</Words>
  <Characters>4435</Characters>
  <Lines>0</Lines>
  <Paragraphs>51</Paragraphs>
  <CharactersWithSpaces>5914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0</cp:revision>
  <dcterms:created xsi:type="dcterms:W3CDTF">2024-11-04T16:54:00Z</dcterms:created>
  <dcterms:modified xsi:type="dcterms:W3CDTF">2025-04-01T08:13:10Z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2052-12.8.2.1115</vt:lpwstr>
  </property>
  <property fmtid="{D5CDD505-2E9C-101B-9397-08002B2CF9AE}" pid="3" name="ICV  ">
    <vt:lpwstr>EC28DB9B55C6A11E91817C674EC4EE03_42</vt:lpwstr>
  </property>
</Properties>
</file>