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F3812">
      <w:pPr>
        <w:spacing w:line="600" w:lineRule="exact"/>
        <w:jc w:val="center"/>
        <w:outlineLvl w:val="0"/>
        <w:rPr>
          <w:rFonts w:hint="eastAsia" w:ascii="方正小标宋简体" w:hAnsi="宋体" w:eastAsia="方正小标宋简体"/>
          <w:sz w:val="72"/>
          <w:szCs w:val="72"/>
        </w:rPr>
      </w:pPr>
      <w:bookmarkStart w:id="0" w:name="_Toc15306267"/>
    </w:p>
    <w:p w14:paraId="6DCD3EBA">
      <w:pPr>
        <w:spacing w:line="600" w:lineRule="exact"/>
        <w:jc w:val="center"/>
        <w:outlineLvl w:val="0"/>
        <w:rPr>
          <w:rFonts w:ascii="方正小标宋简体" w:hAnsi="宋体" w:eastAsia="方正小标宋简体"/>
          <w:sz w:val="72"/>
          <w:szCs w:val="72"/>
        </w:rPr>
      </w:pPr>
    </w:p>
    <w:p w14:paraId="178BFD42">
      <w:pPr>
        <w:spacing w:line="600" w:lineRule="exact"/>
        <w:jc w:val="center"/>
        <w:outlineLvl w:val="0"/>
        <w:rPr>
          <w:rFonts w:ascii="方正小标宋简体" w:hAnsi="宋体" w:eastAsia="方正小标宋简体"/>
          <w:sz w:val="72"/>
          <w:szCs w:val="72"/>
        </w:rPr>
      </w:pPr>
    </w:p>
    <w:p w14:paraId="4E2284F0">
      <w:pPr>
        <w:spacing w:line="600" w:lineRule="exact"/>
        <w:jc w:val="center"/>
        <w:outlineLvl w:val="0"/>
        <w:rPr>
          <w:rFonts w:ascii="方正小标宋简体" w:hAnsi="宋体" w:eastAsia="方正小标宋简体"/>
          <w:sz w:val="72"/>
          <w:szCs w:val="72"/>
        </w:rPr>
      </w:pPr>
    </w:p>
    <w:p w14:paraId="1F3F7A8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6" w:name="_Toc15377426"/>
      <w:bookmarkStart w:id="7" w:name="_Toc15396598"/>
      <w:bookmarkStart w:id="8" w:name="_Toc15396476"/>
      <w:bookmarkStart w:id="9" w:name="_Toc15378442"/>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攀枝花市经济和信息化局单位决算</w:t>
      </w:r>
      <w:bookmarkEnd w:id="6"/>
      <w:bookmarkEnd w:id="7"/>
      <w:bookmarkEnd w:id="8"/>
      <w:bookmarkEnd w:id="9"/>
      <w:bookmarkEnd w:id="10"/>
      <w:bookmarkEnd w:id="11"/>
    </w:p>
    <w:p w14:paraId="115195E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0332DE7">
      <w:pPr>
        <w:widowControl/>
        <w:jc w:val="center"/>
        <w:rPr>
          <w:rFonts w:ascii="黑体" w:hAnsi="黑体" w:eastAsia="黑体" w:cstheme="minorBidi"/>
          <w:sz w:val="28"/>
          <w:szCs w:val="28"/>
        </w:rPr>
      </w:pPr>
    </w:p>
    <w:p w14:paraId="00884A2C">
      <w:pPr>
        <w:pStyle w:val="10"/>
      </w:pPr>
      <w:r>
        <w:rPr>
          <w:rFonts w:hint="eastAsia"/>
        </w:rPr>
        <w:t>公开时间：2022年9月14日</w:t>
      </w:r>
    </w:p>
    <w:p w14:paraId="0E0D4B99"/>
    <w:p w14:paraId="6BA14C8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ascii="Times New Roman" w:hAnsi="Times New Roman" w:eastAsia="宋体"/>
          <w:sz w:val="24"/>
          <w:szCs w:val="24"/>
        </w:rPr>
        <w:tab/>
      </w:r>
      <w:r>
        <w:rPr>
          <w:rFonts w:hint="eastAsia" w:ascii="Times New Roman" w:hAnsi="Times New Roman" w:eastAsia="宋体"/>
          <w:sz w:val="24"/>
          <w:szCs w:val="24"/>
        </w:rPr>
        <w:t>4</w:t>
      </w:r>
    </w:p>
    <w:p w14:paraId="126BF248">
      <w:pPr>
        <w:pStyle w:val="11"/>
        <w:adjustRightInd w:val="0"/>
        <w:snapToGrid w:val="0"/>
        <w:spacing w:line="440" w:lineRule="exact"/>
        <w:jc w:val="left"/>
        <w:rPr>
          <w:sz w:val="24"/>
        </w:rPr>
      </w:pPr>
      <w:r>
        <w:rPr>
          <w:rFonts w:hint="eastAsia"/>
          <w:sz w:val="24"/>
        </w:rPr>
        <w:t>一、职能简介</w:t>
      </w:r>
      <w:r>
        <w:rPr>
          <w:sz w:val="24"/>
        </w:rPr>
        <w:tab/>
      </w:r>
      <w:r>
        <w:rPr>
          <w:rFonts w:hint="eastAsia"/>
          <w:sz w:val="24"/>
        </w:rPr>
        <w:t>4</w:t>
      </w:r>
    </w:p>
    <w:p w14:paraId="14D5C728">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r>
        <w:rPr>
          <w:sz w:val="24"/>
        </w:rPr>
        <w:tab/>
      </w:r>
      <w:r>
        <w:rPr>
          <w:rFonts w:hint="eastAsia"/>
          <w:sz w:val="24"/>
        </w:rPr>
        <w:t>4</w:t>
      </w:r>
    </w:p>
    <w:p w14:paraId="29221904">
      <w:pPr>
        <w:pStyle w:val="10"/>
        <w:adjustRightInd w:val="0"/>
        <w:snapToGrid w:val="0"/>
        <w:spacing w:before="0" w:line="440" w:lineRule="exact"/>
        <w:jc w:val="left"/>
        <w:rPr>
          <w:sz w:val="24"/>
          <w:szCs w:val="24"/>
        </w:rPr>
      </w:pPr>
      <w:r>
        <w:rPr>
          <w:rFonts w:hint="eastAsia"/>
          <w:sz w:val="24"/>
        </w:rPr>
        <w:t>第二部分 2021年度单位决算情况说明</w:t>
      </w:r>
      <w:r>
        <w:rPr>
          <w:rFonts w:ascii="Times New Roman" w:hAnsi="Times New Roman" w:eastAsia="宋体"/>
          <w:sz w:val="24"/>
          <w:szCs w:val="24"/>
        </w:rPr>
        <w:tab/>
      </w:r>
      <w:r>
        <w:rPr>
          <w:rFonts w:hint="eastAsia" w:ascii="Times New Roman" w:hAnsi="Times New Roman" w:eastAsia="宋体"/>
          <w:sz w:val="24"/>
          <w:szCs w:val="24"/>
        </w:rPr>
        <w:t>7</w:t>
      </w:r>
    </w:p>
    <w:p w14:paraId="6C6EE337">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ab/>
      </w:r>
      <w:r>
        <w:rPr>
          <w:rFonts w:hint="eastAsia"/>
          <w:sz w:val="24"/>
        </w:rPr>
        <w:t>7</w:t>
      </w:r>
    </w:p>
    <w:p w14:paraId="1E06DB18">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ab/>
      </w:r>
      <w:r>
        <w:rPr>
          <w:rFonts w:hint="eastAsia"/>
          <w:sz w:val="24"/>
        </w:rPr>
        <w:t>7</w:t>
      </w:r>
    </w:p>
    <w:p w14:paraId="4E5611DA">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ab/>
      </w:r>
      <w:r>
        <w:rPr>
          <w:rFonts w:hint="eastAsia"/>
          <w:sz w:val="24"/>
        </w:rPr>
        <w:t>8</w:t>
      </w:r>
    </w:p>
    <w:p w14:paraId="6594A67F">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ab/>
      </w:r>
      <w:r>
        <w:rPr>
          <w:rFonts w:hint="eastAsia"/>
          <w:sz w:val="24"/>
        </w:rPr>
        <w:t>9</w:t>
      </w:r>
    </w:p>
    <w:p w14:paraId="47490BA4">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ab/>
      </w:r>
      <w:r>
        <w:rPr>
          <w:rFonts w:hint="eastAsia"/>
          <w:sz w:val="24"/>
        </w:rPr>
        <w:t>9</w:t>
      </w:r>
    </w:p>
    <w:p w14:paraId="545941FA">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ab/>
      </w:r>
      <w:r>
        <w:rPr>
          <w:rFonts w:hint="eastAsia"/>
          <w:sz w:val="24"/>
        </w:rPr>
        <w:t>12</w:t>
      </w:r>
    </w:p>
    <w:p w14:paraId="7294CFFB">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sz w:val="24"/>
        </w:rPr>
        <w:tab/>
      </w:r>
      <w:r>
        <w:rPr>
          <w:rFonts w:hint="eastAsia"/>
          <w:sz w:val="24"/>
        </w:rPr>
        <w:t>13</w:t>
      </w:r>
    </w:p>
    <w:p w14:paraId="473D4E06">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ab/>
      </w:r>
      <w:r>
        <w:rPr>
          <w:rFonts w:hint="eastAsia"/>
          <w:sz w:val="24"/>
        </w:rPr>
        <w:t>15</w:t>
      </w:r>
    </w:p>
    <w:p w14:paraId="4CFA3C2F">
      <w:pPr>
        <w:pStyle w:val="11"/>
        <w:adjustRightInd w:val="0"/>
        <w:snapToGrid w:val="0"/>
        <w:spacing w:line="440" w:lineRule="exact"/>
        <w:jc w:val="left"/>
        <w:rPr>
          <w:sz w:val="24"/>
        </w:rPr>
      </w:pPr>
      <w:r>
        <w:rPr>
          <w:rFonts w:hint="eastAsia"/>
          <w:sz w:val="24"/>
        </w:rPr>
        <w:t>九、国有资本经营预算支出决算情况说明</w:t>
      </w:r>
      <w:r>
        <w:rPr>
          <w:sz w:val="24"/>
        </w:rPr>
        <w:tab/>
      </w:r>
      <w:r>
        <w:rPr>
          <w:rFonts w:hint="eastAsia"/>
          <w:sz w:val="24"/>
        </w:rPr>
        <w:t>15</w:t>
      </w:r>
    </w:p>
    <w:p w14:paraId="1D94FE0F">
      <w:pPr>
        <w:pStyle w:val="11"/>
        <w:adjustRightInd w:val="0"/>
        <w:snapToGrid w:val="0"/>
        <w:spacing w:line="440" w:lineRule="exact"/>
        <w:jc w:val="left"/>
        <w:rPr>
          <w:sz w:val="24"/>
        </w:rPr>
      </w:pPr>
      <w:r>
        <w:rPr>
          <w:rFonts w:hint="eastAsia"/>
          <w:sz w:val="24"/>
        </w:rPr>
        <w:t>十、其他重要事项的情况说明</w:t>
      </w:r>
      <w:r>
        <w:rPr>
          <w:sz w:val="24"/>
        </w:rPr>
        <w:tab/>
      </w:r>
      <w:r>
        <w:rPr>
          <w:rFonts w:hint="eastAsia"/>
          <w:sz w:val="24"/>
        </w:rPr>
        <w:t>15</w:t>
      </w:r>
    </w:p>
    <w:p w14:paraId="5CDF8087">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ascii="Times New Roman" w:hAnsi="Times New Roman" w:eastAsia="宋体"/>
          <w:sz w:val="24"/>
          <w:szCs w:val="24"/>
        </w:rPr>
        <w:tab/>
      </w:r>
      <w:r>
        <w:rPr>
          <w:rFonts w:hint="eastAsia" w:ascii="Times New Roman" w:hAnsi="Times New Roman" w:eastAsia="宋体"/>
          <w:sz w:val="24"/>
          <w:szCs w:val="24"/>
        </w:rPr>
        <w:t>17</w:t>
      </w:r>
    </w:p>
    <w:p w14:paraId="24A06C9C">
      <w:pPr>
        <w:pStyle w:val="10"/>
        <w:adjustRightInd w:val="0"/>
        <w:snapToGrid w:val="0"/>
        <w:spacing w:before="0" w:line="440" w:lineRule="exact"/>
        <w:jc w:val="left"/>
        <w:rPr>
          <w:rFonts w:ascii="Times New Roman" w:hAnsi="Times New Roman" w:eastAsia="宋体"/>
          <w:sz w:val="24"/>
          <w:szCs w:val="24"/>
        </w:rPr>
      </w:pPr>
      <w:r>
        <w:rPr>
          <w:rFonts w:hint="eastAsia"/>
          <w:sz w:val="24"/>
        </w:rPr>
        <w:t>第四部分</w:t>
      </w:r>
      <w:r>
        <w:rPr>
          <w:sz w:val="24"/>
        </w:rPr>
        <w:t xml:space="preserve"> </w:t>
      </w:r>
      <w:r>
        <w:rPr>
          <w:rFonts w:hint="eastAsia"/>
          <w:sz w:val="24"/>
        </w:rPr>
        <w:t>附件</w:t>
      </w:r>
      <w:r>
        <w:rPr>
          <w:rFonts w:ascii="Times New Roman" w:hAnsi="Times New Roman" w:eastAsia="宋体"/>
          <w:sz w:val="24"/>
          <w:szCs w:val="24"/>
        </w:rPr>
        <w:tab/>
      </w:r>
      <w:r>
        <w:rPr>
          <w:rFonts w:hint="eastAsia" w:ascii="Times New Roman" w:hAnsi="Times New Roman" w:eastAsia="宋体"/>
          <w:sz w:val="24"/>
          <w:szCs w:val="24"/>
        </w:rPr>
        <w:t>20</w:t>
      </w:r>
    </w:p>
    <w:p w14:paraId="49C968A0">
      <w:pPr>
        <w:pStyle w:val="11"/>
        <w:adjustRightInd w:val="0"/>
        <w:snapToGrid w:val="0"/>
        <w:spacing w:line="440" w:lineRule="exact"/>
        <w:ind w:left="0" w:leftChars="0"/>
        <w:jc w:val="left"/>
        <w:rPr>
          <w:sz w:val="24"/>
        </w:rPr>
      </w:pPr>
      <w:r>
        <w:rPr>
          <w:rFonts w:hint="eastAsia" w:ascii="仿宋" w:hAnsi="仿宋" w:eastAsia="仿宋"/>
          <w:sz w:val="24"/>
          <w:szCs w:val="28"/>
        </w:rPr>
        <w:t>第五部分</w:t>
      </w:r>
      <w:r>
        <w:rPr>
          <w:rFonts w:ascii="仿宋" w:hAnsi="仿宋" w:eastAsia="仿宋"/>
          <w:sz w:val="24"/>
          <w:szCs w:val="28"/>
        </w:rPr>
        <w:t xml:space="preserve"> </w:t>
      </w:r>
      <w:r>
        <w:rPr>
          <w:rFonts w:hint="eastAsia" w:ascii="仿宋" w:hAnsi="仿宋" w:eastAsia="仿宋"/>
          <w:sz w:val="24"/>
          <w:szCs w:val="28"/>
        </w:rPr>
        <w:t>附表</w:t>
      </w:r>
      <w:r>
        <w:rPr>
          <w:sz w:val="24"/>
        </w:rPr>
        <w:tab/>
      </w:r>
      <w:r>
        <w:rPr>
          <w:rFonts w:hint="eastAsia"/>
          <w:sz w:val="24"/>
        </w:rPr>
        <w:t>22</w:t>
      </w:r>
    </w:p>
    <w:p w14:paraId="3A63F4D5">
      <w:pPr>
        <w:pStyle w:val="11"/>
        <w:adjustRightInd w:val="0"/>
        <w:snapToGrid w:val="0"/>
        <w:spacing w:line="440" w:lineRule="exact"/>
        <w:jc w:val="left"/>
        <w:rPr>
          <w:sz w:val="24"/>
        </w:rPr>
      </w:pPr>
      <w:r>
        <w:rPr>
          <w:rFonts w:hint="eastAsia"/>
          <w:sz w:val="24"/>
        </w:rPr>
        <w:t>一、收入支出决算总表</w:t>
      </w:r>
      <w:r>
        <w:rPr>
          <w:sz w:val="24"/>
        </w:rPr>
        <w:tab/>
      </w:r>
      <w:r>
        <w:rPr>
          <w:rFonts w:hint="eastAsia"/>
          <w:sz w:val="24"/>
        </w:rPr>
        <w:t>22</w:t>
      </w:r>
    </w:p>
    <w:p w14:paraId="4740CB5C">
      <w:pPr>
        <w:pStyle w:val="11"/>
        <w:adjustRightInd w:val="0"/>
        <w:snapToGrid w:val="0"/>
        <w:spacing w:line="440" w:lineRule="exact"/>
        <w:jc w:val="left"/>
        <w:rPr>
          <w:sz w:val="24"/>
        </w:rPr>
      </w:pPr>
      <w:r>
        <w:rPr>
          <w:rFonts w:hint="eastAsia"/>
          <w:sz w:val="24"/>
        </w:rPr>
        <w:t>二、收入决算表</w:t>
      </w:r>
      <w:r>
        <w:rPr>
          <w:sz w:val="24"/>
        </w:rPr>
        <w:tab/>
      </w:r>
      <w:r>
        <w:rPr>
          <w:rFonts w:hint="eastAsia"/>
          <w:sz w:val="24"/>
        </w:rPr>
        <w:t>22</w:t>
      </w:r>
    </w:p>
    <w:p w14:paraId="21156463">
      <w:pPr>
        <w:pStyle w:val="11"/>
        <w:adjustRightInd w:val="0"/>
        <w:snapToGrid w:val="0"/>
        <w:spacing w:line="440" w:lineRule="exact"/>
        <w:jc w:val="left"/>
        <w:rPr>
          <w:sz w:val="24"/>
        </w:rPr>
      </w:pPr>
      <w:r>
        <w:rPr>
          <w:rFonts w:hint="eastAsia"/>
          <w:sz w:val="24"/>
        </w:rPr>
        <w:t>三、支出决算表</w:t>
      </w:r>
      <w:r>
        <w:rPr>
          <w:sz w:val="24"/>
        </w:rPr>
        <w:tab/>
      </w:r>
      <w:r>
        <w:rPr>
          <w:rFonts w:hint="eastAsia"/>
          <w:sz w:val="24"/>
        </w:rPr>
        <w:t>22</w:t>
      </w:r>
    </w:p>
    <w:p w14:paraId="5C9F616A">
      <w:pPr>
        <w:pStyle w:val="11"/>
        <w:adjustRightInd w:val="0"/>
        <w:snapToGrid w:val="0"/>
        <w:spacing w:line="440" w:lineRule="exact"/>
        <w:jc w:val="left"/>
        <w:rPr>
          <w:sz w:val="24"/>
        </w:rPr>
      </w:pPr>
      <w:r>
        <w:rPr>
          <w:rFonts w:hint="eastAsia"/>
          <w:sz w:val="24"/>
        </w:rPr>
        <w:t>四、财政拨款收入支出决算总表</w:t>
      </w:r>
      <w:r>
        <w:rPr>
          <w:sz w:val="24"/>
        </w:rPr>
        <w:tab/>
      </w:r>
      <w:r>
        <w:rPr>
          <w:rFonts w:hint="eastAsia"/>
          <w:sz w:val="24"/>
        </w:rPr>
        <w:t>22</w:t>
      </w:r>
    </w:p>
    <w:p w14:paraId="4A0A0043">
      <w:pPr>
        <w:pStyle w:val="11"/>
        <w:adjustRightInd w:val="0"/>
        <w:snapToGrid w:val="0"/>
        <w:spacing w:line="440" w:lineRule="exact"/>
        <w:jc w:val="left"/>
        <w:rPr>
          <w:sz w:val="24"/>
        </w:rPr>
      </w:pPr>
      <w:r>
        <w:rPr>
          <w:rFonts w:hint="eastAsia"/>
          <w:sz w:val="24"/>
        </w:rPr>
        <w:t>五、财政拨款支出决算明细表</w:t>
      </w:r>
      <w:r>
        <w:rPr>
          <w:sz w:val="24"/>
        </w:rPr>
        <w:tab/>
      </w:r>
      <w:r>
        <w:rPr>
          <w:rFonts w:hint="eastAsia"/>
          <w:sz w:val="24"/>
        </w:rPr>
        <w:t>22</w:t>
      </w:r>
    </w:p>
    <w:p w14:paraId="76C4403A">
      <w:pPr>
        <w:pStyle w:val="11"/>
        <w:adjustRightInd w:val="0"/>
        <w:snapToGrid w:val="0"/>
        <w:spacing w:line="440" w:lineRule="exact"/>
        <w:jc w:val="left"/>
        <w:rPr>
          <w:sz w:val="24"/>
        </w:rPr>
      </w:pPr>
      <w:r>
        <w:rPr>
          <w:rFonts w:hint="eastAsia"/>
          <w:sz w:val="24"/>
        </w:rPr>
        <w:t>六、一般公共预算财政拨款支出决算表</w:t>
      </w:r>
      <w:r>
        <w:rPr>
          <w:sz w:val="24"/>
        </w:rPr>
        <w:tab/>
      </w:r>
      <w:r>
        <w:rPr>
          <w:rFonts w:hint="eastAsia"/>
          <w:sz w:val="24"/>
        </w:rPr>
        <w:t>22</w:t>
      </w:r>
    </w:p>
    <w:p w14:paraId="33DDA1F0">
      <w:pPr>
        <w:pStyle w:val="11"/>
        <w:adjustRightInd w:val="0"/>
        <w:snapToGrid w:val="0"/>
        <w:spacing w:line="440" w:lineRule="exact"/>
        <w:jc w:val="left"/>
        <w:rPr>
          <w:sz w:val="24"/>
        </w:rPr>
      </w:pPr>
      <w:r>
        <w:rPr>
          <w:rFonts w:hint="eastAsia"/>
          <w:sz w:val="24"/>
        </w:rPr>
        <w:t>七、一般公共预算财政拨款支出决算明细表</w:t>
      </w:r>
      <w:r>
        <w:rPr>
          <w:sz w:val="24"/>
        </w:rPr>
        <w:tab/>
      </w:r>
      <w:r>
        <w:rPr>
          <w:rFonts w:hint="eastAsia"/>
          <w:sz w:val="24"/>
        </w:rPr>
        <w:t>22</w:t>
      </w:r>
    </w:p>
    <w:p w14:paraId="00DE45D8">
      <w:pPr>
        <w:pStyle w:val="11"/>
        <w:adjustRightInd w:val="0"/>
        <w:snapToGrid w:val="0"/>
        <w:spacing w:line="440" w:lineRule="exact"/>
        <w:jc w:val="left"/>
        <w:rPr>
          <w:sz w:val="24"/>
        </w:rPr>
      </w:pPr>
      <w:r>
        <w:rPr>
          <w:rFonts w:hint="eastAsia"/>
          <w:sz w:val="24"/>
        </w:rPr>
        <w:t>八、一般公共预算财政拨款基本支出决算表</w:t>
      </w:r>
      <w:r>
        <w:rPr>
          <w:sz w:val="24"/>
        </w:rPr>
        <w:tab/>
      </w:r>
      <w:r>
        <w:rPr>
          <w:rFonts w:hint="eastAsia"/>
          <w:sz w:val="24"/>
        </w:rPr>
        <w:t>22</w:t>
      </w:r>
    </w:p>
    <w:p w14:paraId="330AC61A">
      <w:pPr>
        <w:pStyle w:val="11"/>
        <w:adjustRightInd w:val="0"/>
        <w:snapToGrid w:val="0"/>
        <w:spacing w:line="440" w:lineRule="exact"/>
        <w:jc w:val="left"/>
        <w:rPr>
          <w:sz w:val="24"/>
        </w:rPr>
      </w:pPr>
      <w:r>
        <w:rPr>
          <w:rFonts w:hint="eastAsia"/>
          <w:sz w:val="24"/>
        </w:rPr>
        <w:t>九、一般公共预算财政拨款项目支出决算表</w:t>
      </w:r>
      <w:r>
        <w:rPr>
          <w:sz w:val="24"/>
        </w:rPr>
        <w:tab/>
      </w:r>
      <w:r>
        <w:rPr>
          <w:rFonts w:hint="eastAsia"/>
          <w:sz w:val="24"/>
        </w:rPr>
        <w:t>22</w:t>
      </w:r>
    </w:p>
    <w:p w14:paraId="440CAFD0">
      <w:pPr>
        <w:pStyle w:val="11"/>
        <w:adjustRightInd w:val="0"/>
        <w:snapToGrid w:val="0"/>
        <w:spacing w:line="440" w:lineRule="exact"/>
        <w:jc w:val="left"/>
        <w:rPr>
          <w:sz w:val="24"/>
        </w:rPr>
      </w:pPr>
      <w:r>
        <w:rPr>
          <w:rFonts w:hint="eastAsia"/>
          <w:sz w:val="24"/>
        </w:rPr>
        <w:t>十、一般公共预算财政拨款“三公”经费支出决算表</w:t>
      </w:r>
      <w:r>
        <w:rPr>
          <w:sz w:val="24"/>
        </w:rPr>
        <w:t>……</w:t>
      </w:r>
      <w:r>
        <w:rPr>
          <w:sz w:val="24"/>
        </w:rPr>
        <w:tab/>
      </w:r>
      <w:r>
        <w:rPr>
          <w:rFonts w:hint="eastAsia"/>
          <w:sz w:val="24"/>
        </w:rPr>
        <w:t>22</w:t>
      </w:r>
    </w:p>
    <w:p w14:paraId="05F69F2E">
      <w:pPr>
        <w:pStyle w:val="11"/>
        <w:adjustRightInd w:val="0"/>
        <w:snapToGrid w:val="0"/>
        <w:spacing w:line="440" w:lineRule="exact"/>
        <w:jc w:val="left"/>
        <w:rPr>
          <w:sz w:val="24"/>
        </w:rPr>
      </w:pPr>
      <w:r>
        <w:rPr>
          <w:rFonts w:hint="eastAsia"/>
          <w:sz w:val="24"/>
        </w:rPr>
        <w:t>十一、政府性基金预算财政拨款收入支出决算表</w:t>
      </w:r>
      <w:r>
        <w:rPr>
          <w:sz w:val="24"/>
        </w:rPr>
        <w:t>……</w:t>
      </w:r>
      <w:r>
        <w:rPr>
          <w:rFonts w:hint="eastAsia"/>
          <w:sz w:val="24"/>
        </w:rPr>
        <w:t>.</w:t>
      </w:r>
      <w:r>
        <w:rPr>
          <w:sz w:val="24"/>
        </w:rPr>
        <w:tab/>
      </w:r>
      <w:r>
        <w:rPr>
          <w:rFonts w:hint="eastAsia"/>
          <w:sz w:val="24"/>
        </w:rPr>
        <w:t>22</w:t>
      </w:r>
    </w:p>
    <w:p w14:paraId="72824BC2">
      <w:pPr>
        <w:pStyle w:val="11"/>
        <w:adjustRightInd w:val="0"/>
        <w:snapToGrid w:val="0"/>
        <w:spacing w:line="440" w:lineRule="exact"/>
        <w:jc w:val="left"/>
        <w:rPr>
          <w:sz w:val="24"/>
        </w:rPr>
      </w:pPr>
      <w:r>
        <w:rPr>
          <w:rFonts w:hint="eastAsia"/>
          <w:sz w:val="24"/>
        </w:rPr>
        <w:t>十二、政府性基金预算财政拨款“三公”经费支出决算表</w:t>
      </w:r>
      <w:r>
        <w:rPr>
          <w:sz w:val="24"/>
        </w:rPr>
        <w:t>…</w:t>
      </w:r>
      <w:r>
        <w:rPr>
          <w:sz w:val="24"/>
        </w:rPr>
        <w:tab/>
      </w:r>
      <w:r>
        <w:rPr>
          <w:sz w:val="24"/>
        </w:rPr>
        <w:t>…</w:t>
      </w:r>
      <w:r>
        <w:rPr>
          <w:rFonts w:hint="eastAsia"/>
          <w:sz w:val="24"/>
        </w:rPr>
        <w:t>22</w:t>
      </w:r>
    </w:p>
    <w:p w14:paraId="0F25D8D5">
      <w:pPr>
        <w:pStyle w:val="11"/>
        <w:adjustRightInd w:val="0"/>
        <w:snapToGrid w:val="0"/>
        <w:spacing w:line="440" w:lineRule="exact"/>
        <w:jc w:val="left"/>
        <w:rPr>
          <w:sz w:val="24"/>
        </w:rPr>
      </w:pPr>
      <w:r>
        <w:rPr>
          <w:rFonts w:hint="eastAsia"/>
          <w:sz w:val="24"/>
        </w:rPr>
        <w:t>十三、国有资本经营预算财政拨款收入支出决算表</w:t>
      </w:r>
      <w:r>
        <w:rPr>
          <w:sz w:val="24"/>
        </w:rPr>
        <w:t>……</w:t>
      </w:r>
      <w:r>
        <w:rPr>
          <w:rFonts w:hint="eastAsia"/>
          <w:sz w:val="24"/>
        </w:rPr>
        <w:t>.</w:t>
      </w:r>
      <w:r>
        <w:rPr>
          <w:sz w:val="24"/>
        </w:rPr>
        <w:tab/>
      </w:r>
      <w:r>
        <w:rPr>
          <w:rFonts w:hint="eastAsia"/>
          <w:sz w:val="24"/>
        </w:rPr>
        <w:t>22</w:t>
      </w:r>
    </w:p>
    <w:p w14:paraId="051D75B4">
      <w:pPr>
        <w:pStyle w:val="11"/>
        <w:adjustRightInd w:val="0"/>
        <w:snapToGrid w:val="0"/>
        <w:spacing w:line="440" w:lineRule="exact"/>
        <w:jc w:val="left"/>
        <w:rPr>
          <w:sz w:val="24"/>
        </w:rPr>
      </w:pPr>
      <w:r>
        <w:rPr>
          <w:rFonts w:hint="eastAsia"/>
          <w:sz w:val="24"/>
        </w:rPr>
        <w:t>十四、国有资本经营预算财政拨款支出决算表</w:t>
      </w:r>
      <w:r>
        <w:rPr>
          <w:sz w:val="24"/>
        </w:rPr>
        <w:t>…</w:t>
      </w:r>
      <w:r>
        <w:rPr>
          <w:sz w:val="24"/>
        </w:rPr>
        <w:tab/>
      </w:r>
      <w:r>
        <w:rPr>
          <w:rFonts w:hint="eastAsia"/>
          <w:sz w:val="24"/>
        </w:rPr>
        <w:t>22</w:t>
      </w:r>
    </w:p>
    <w:p w14:paraId="2B21E847">
      <w:pPr>
        <w:widowControl/>
        <w:spacing w:line="440" w:lineRule="exact"/>
        <w:jc w:val="left"/>
        <w:rPr>
          <w:rFonts w:ascii="仿宋" w:hAnsi="仿宋" w:eastAsia="仿宋"/>
          <w:b/>
          <w:sz w:val="24"/>
        </w:rPr>
      </w:pPr>
      <w:bookmarkStart w:id="12" w:name="_Toc15396599"/>
      <w:bookmarkStart w:id="13" w:name="_Toc15377196"/>
    </w:p>
    <w:p w14:paraId="519FD227">
      <w:pPr>
        <w:pStyle w:val="2"/>
        <w:spacing w:before="93"/>
      </w:pPr>
    </w:p>
    <w:p w14:paraId="608F017F">
      <w:pPr>
        <w:pStyle w:val="2"/>
        <w:spacing w:before="93"/>
      </w:pPr>
    </w:p>
    <w:p w14:paraId="2B325B2B">
      <w:pPr>
        <w:pStyle w:val="2"/>
        <w:spacing w:before="93"/>
      </w:pPr>
    </w:p>
    <w:p w14:paraId="5C90D05A">
      <w:pPr>
        <w:pStyle w:val="2"/>
        <w:spacing w:before="93"/>
      </w:pPr>
    </w:p>
    <w:p w14:paraId="2C6D5C00">
      <w:pPr>
        <w:pStyle w:val="2"/>
        <w:spacing w:before="93"/>
      </w:pPr>
    </w:p>
    <w:p w14:paraId="00FE3812">
      <w:pPr>
        <w:pStyle w:val="2"/>
        <w:spacing w:before="93"/>
      </w:pPr>
    </w:p>
    <w:p w14:paraId="7801D83D">
      <w:pPr>
        <w:pStyle w:val="2"/>
        <w:spacing w:before="93"/>
      </w:pPr>
    </w:p>
    <w:p w14:paraId="522301F8">
      <w:pPr>
        <w:pStyle w:val="2"/>
        <w:spacing w:before="93"/>
      </w:pPr>
    </w:p>
    <w:p w14:paraId="7EC2339C">
      <w:pPr>
        <w:pStyle w:val="2"/>
        <w:spacing w:before="93"/>
      </w:pPr>
    </w:p>
    <w:p w14:paraId="56371C02">
      <w:pPr>
        <w:pStyle w:val="2"/>
        <w:spacing w:before="93"/>
      </w:pPr>
    </w:p>
    <w:p w14:paraId="4513C93A">
      <w:pPr>
        <w:pStyle w:val="2"/>
        <w:spacing w:before="93"/>
      </w:pPr>
    </w:p>
    <w:p w14:paraId="65FA65C9">
      <w:pPr>
        <w:pStyle w:val="2"/>
        <w:spacing w:before="93"/>
      </w:pPr>
    </w:p>
    <w:p w14:paraId="11EBB0C4">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14:paraId="0879286C">
      <w:pPr>
        <w:pStyle w:val="4"/>
        <w:spacing w:line="580" w:lineRule="exact"/>
        <w:ind w:firstLine="640" w:firstLineChars="200"/>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一、职能简介</w:t>
      </w:r>
    </w:p>
    <w:p w14:paraId="73E0A2EE">
      <w:pPr>
        <w:snapToGrid w:val="0"/>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攀枝花市经济和信息化局（以下简称市经济和信息化局）</w:t>
      </w:r>
      <w:r>
        <w:rPr>
          <w:rFonts w:eastAsia="仿宋_GB2312"/>
          <w:sz w:val="32"/>
          <w:szCs w:val="32"/>
        </w:rPr>
        <w:t>是全市经济运行综合协调部门和全市工业经济、民营经济及信息产业的行业主管部门。负责职责范围内的安全生产和职业健康、生态环境保护、行政审批便民化工作；负责全市烟草工业发展、农业装备工业相关工作；负责全市盐业行业管理，组织编制盐业发展规划，制定并实施产业政策，承担食盐专营管理工作，负责医药行业管理。</w:t>
      </w:r>
    </w:p>
    <w:p w14:paraId="7895A314">
      <w:pPr>
        <w:widowControl/>
        <w:shd w:val="clear" w:color="auto" w:fill="FFFFFF"/>
        <w:spacing w:line="600" w:lineRule="exact"/>
        <w:ind w:firstLine="800" w:firstLineChars="250"/>
        <w:jc w:val="left"/>
        <w:rPr>
          <w:rFonts w:eastAsia="仿宋_GB2312"/>
          <w:sz w:val="32"/>
          <w:szCs w:val="32"/>
        </w:rPr>
      </w:pPr>
      <w:r>
        <w:rPr>
          <w:rFonts w:hint="eastAsia" w:eastAsia="仿宋_GB2312"/>
          <w:kern w:val="0"/>
          <w:sz w:val="32"/>
        </w:rPr>
        <w:t>机构设置：</w:t>
      </w:r>
      <w:r>
        <w:rPr>
          <w:rFonts w:eastAsia="仿宋_GB2312"/>
          <w:kern w:val="0"/>
          <w:sz w:val="32"/>
        </w:rPr>
        <w:t>市经济和信息化局</w:t>
      </w:r>
      <w:r>
        <w:rPr>
          <w:rFonts w:eastAsia="仿宋_GB2312"/>
          <w:sz w:val="32"/>
          <w:szCs w:val="32"/>
        </w:rPr>
        <w:t>内设14个科（室），机关行政编制45名、机关工勤人员编制8名。</w:t>
      </w:r>
      <w:r>
        <w:rPr>
          <w:rFonts w:eastAsia="仿宋_GB2312"/>
          <w:kern w:val="0"/>
          <w:sz w:val="32"/>
        </w:rPr>
        <w:t>下属非独立核算</w:t>
      </w:r>
      <w:r>
        <w:rPr>
          <w:rFonts w:eastAsia="仿宋_GB2312"/>
          <w:sz w:val="32"/>
          <w:szCs w:val="32"/>
        </w:rPr>
        <w:t>全额拨款</w:t>
      </w:r>
      <w:r>
        <w:rPr>
          <w:rFonts w:eastAsia="仿宋_GB2312"/>
          <w:kern w:val="0"/>
          <w:sz w:val="32"/>
        </w:rPr>
        <w:t>参公事业单位1个—攀枝花市能源监察支队</w:t>
      </w:r>
      <w:r>
        <w:rPr>
          <w:rFonts w:eastAsia="仿宋_GB2312"/>
          <w:sz w:val="32"/>
          <w:szCs w:val="32"/>
        </w:rPr>
        <w:t>编制7名</w:t>
      </w:r>
      <w:r>
        <w:rPr>
          <w:rFonts w:eastAsia="仿宋_GB2312"/>
          <w:kern w:val="0"/>
          <w:sz w:val="32"/>
        </w:rPr>
        <w:t>；</w:t>
      </w:r>
      <w:r>
        <w:rPr>
          <w:rFonts w:eastAsia="仿宋_GB2312"/>
          <w:sz w:val="32"/>
          <w:szCs w:val="32"/>
        </w:rPr>
        <w:t>全额拨款事业单位</w:t>
      </w:r>
      <w:r>
        <w:rPr>
          <w:rFonts w:eastAsia="仿宋_GB2312"/>
          <w:kern w:val="0"/>
          <w:sz w:val="32"/>
        </w:rPr>
        <w:t>1个—攀枝花市经济研究与企业服务中心</w:t>
      </w:r>
      <w:r>
        <w:rPr>
          <w:rFonts w:eastAsia="仿宋_GB2312"/>
          <w:sz w:val="32"/>
          <w:szCs w:val="32"/>
        </w:rPr>
        <w:t>编制8名</w:t>
      </w:r>
      <w:r>
        <w:rPr>
          <w:rFonts w:eastAsia="仿宋_GB2312"/>
          <w:kern w:val="0"/>
          <w:sz w:val="32"/>
        </w:rPr>
        <w:t>。</w:t>
      </w:r>
      <w:r>
        <w:rPr>
          <w:rFonts w:eastAsia="仿宋_GB2312"/>
          <w:sz w:val="32"/>
          <w:szCs w:val="32"/>
        </w:rPr>
        <w:t>截至202</w:t>
      </w:r>
      <w:r>
        <w:rPr>
          <w:rFonts w:hint="eastAsia" w:eastAsia="仿宋_GB2312"/>
          <w:sz w:val="32"/>
          <w:szCs w:val="32"/>
        </w:rPr>
        <w:t>1</w:t>
      </w:r>
      <w:r>
        <w:rPr>
          <w:rFonts w:eastAsia="仿宋_GB2312"/>
          <w:sz w:val="32"/>
          <w:szCs w:val="32"/>
        </w:rPr>
        <w:t>年末，实有在职人员</w:t>
      </w:r>
      <w:r>
        <w:rPr>
          <w:rFonts w:hint="eastAsia" w:eastAsia="仿宋_GB2312"/>
          <w:sz w:val="32"/>
          <w:szCs w:val="32"/>
        </w:rPr>
        <w:t>71</w:t>
      </w:r>
      <w:r>
        <w:rPr>
          <w:rFonts w:eastAsia="仿宋_GB2312"/>
          <w:sz w:val="32"/>
          <w:szCs w:val="32"/>
        </w:rPr>
        <w:t>人，其中公务员45人（含驻局纪检组3人），机关工人</w:t>
      </w:r>
      <w:r>
        <w:rPr>
          <w:rFonts w:hint="eastAsia" w:eastAsia="仿宋_GB2312"/>
          <w:sz w:val="32"/>
          <w:szCs w:val="32"/>
        </w:rPr>
        <w:t>8</w:t>
      </w:r>
      <w:r>
        <w:rPr>
          <w:rFonts w:eastAsia="仿宋_GB2312"/>
          <w:sz w:val="32"/>
          <w:szCs w:val="32"/>
        </w:rPr>
        <w:t>人，聘用人员3人，参照公务员管理人员</w:t>
      </w:r>
      <w:r>
        <w:rPr>
          <w:rFonts w:hint="eastAsia" w:eastAsia="仿宋_GB2312"/>
          <w:sz w:val="32"/>
          <w:szCs w:val="32"/>
        </w:rPr>
        <w:t>7</w:t>
      </w:r>
      <w:r>
        <w:rPr>
          <w:rFonts w:eastAsia="仿宋_GB2312"/>
          <w:sz w:val="32"/>
          <w:szCs w:val="32"/>
        </w:rPr>
        <w:t>人、事业编制人员</w:t>
      </w:r>
      <w:r>
        <w:rPr>
          <w:rFonts w:hint="eastAsia" w:eastAsia="仿宋_GB2312"/>
          <w:sz w:val="32"/>
          <w:szCs w:val="32"/>
        </w:rPr>
        <w:t>8</w:t>
      </w:r>
      <w:r>
        <w:rPr>
          <w:rFonts w:eastAsia="仿宋_GB2312"/>
          <w:sz w:val="32"/>
          <w:szCs w:val="32"/>
        </w:rPr>
        <w:t>人。</w:t>
      </w:r>
    </w:p>
    <w:p w14:paraId="42306F4F">
      <w:pPr>
        <w:pStyle w:val="4"/>
        <w:spacing w:line="580" w:lineRule="exact"/>
        <w:ind w:firstLine="640" w:firstLineChars="200"/>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14:paraId="707CE0E7">
      <w:pPr>
        <w:widowControl/>
        <w:spacing w:line="580" w:lineRule="exact"/>
        <w:ind w:firstLine="640" w:firstLineChars="200"/>
        <w:jc w:val="left"/>
        <w:rPr>
          <w:rFonts w:eastAsia="仿宋_GB2312"/>
          <w:sz w:val="32"/>
          <w:szCs w:val="32"/>
        </w:rPr>
      </w:pPr>
      <w:r>
        <w:rPr>
          <w:rFonts w:hint="eastAsia" w:ascii="仿宋" w:hAnsi="仿宋" w:eastAsia="仿宋"/>
          <w:sz w:val="32"/>
          <w:szCs w:val="32"/>
        </w:rPr>
        <w:t>（一）保障</w:t>
      </w:r>
      <w:r>
        <w:rPr>
          <w:rFonts w:eastAsia="仿宋_GB2312"/>
          <w:sz w:val="32"/>
          <w:szCs w:val="32"/>
        </w:rPr>
        <w:t>工业</w:t>
      </w:r>
      <w:r>
        <w:rPr>
          <w:rFonts w:hint="eastAsia" w:eastAsia="仿宋_GB2312"/>
          <w:sz w:val="32"/>
          <w:szCs w:val="32"/>
        </w:rPr>
        <w:t>经济平稳运行</w:t>
      </w:r>
      <w:r>
        <w:rPr>
          <w:rFonts w:eastAsia="仿宋_GB2312"/>
          <w:sz w:val="32"/>
          <w:szCs w:val="32"/>
        </w:rPr>
        <w:t>。</w:t>
      </w:r>
      <w:r>
        <w:rPr>
          <w:rFonts w:hint="eastAsia" w:eastAsia="仿宋_GB2312"/>
          <w:sz w:val="32"/>
          <w:szCs w:val="32"/>
        </w:rPr>
        <w:t>2021年，</w:t>
      </w:r>
      <w:r>
        <w:rPr>
          <w:rFonts w:eastAsia="仿宋_GB2312"/>
          <w:sz w:val="32"/>
          <w:szCs w:val="32"/>
        </w:rPr>
        <w:t>市经济和信息化局深入实施工业强市战略，全力抓产业、建项目、强服务，坚持部门协同、市县联动，完善工业经济运行预警监测调度机制，全市工业经济运行总体稳定，实现恢复性稳定增长。全市规上工业增加值同比增长10%，五年来首次追平全省平均增速，排全省第12位，全年增长9.7%左右，高于省政府下达目标（8%）1.7个百分点。</w:t>
      </w:r>
    </w:p>
    <w:p w14:paraId="66143DFB">
      <w:pPr>
        <w:spacing w:line="5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加快工业增量培育。开展靶向招引</w:t>
      </w:r>
      <w:r>
        <w:rPr>
          <w:rFonts w:hint="eastAsia" w:eastAsia="仿宋_GB2312"/>
          <w:sz w:val="32"/>
          <w:szCs w:val="32"/>
        </w:rPr>
        <w:t>，</w:t>
      </w:r>
      <w:r>
        <w:rPr>
          <w:rFonts w:eastAsia="仿宋_GB2312"/>
          <w:sz w:val="32"/>
          <w:szCs w:val="32"/>
        </w:rPr>
        <w:t>编印《攀枝花市工业和信息化招商工作指引》，扎实推进制造业招商引资“百日攻坚”行动，开展专题投资推介会4次、小分队招商70余次，成功签约攀钢3.5万吨海绵钛、龙蟒20万吨氯化钛白粉及稀有金属综合回收示范工程、思创5万吨精密铸件等制造业项目45个，签约金额215.1亿元，活动开展以来制造业招商项目累计新增到位资金61.96亿元。</w:t>
      </w:r>
    </w:p>
    <w:p w14:paraId="647C5F21">
      <w:pPr>
        <w:spacing w:line="58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加快</w:t>
      </w:r>
      <w:r>
        <w:rPr>
          <w:rFonts w:hint="eastAsia" w:eastAsia="仿宋_GB2312"/>
          <w:sz w:val="32"/>
          <w:szCs w:val="32"/>
        </w:rPr>
        <w:t>工业</w:t>
      </w:r>
      <w:r>
        <w:rPr>
          <w:rFonts w:eastAsia="仿宋_GB2312"/>
          <w:sz w:val="32"/>
          <w:szCs w:val="32"/>
        </w:rPr>
        <w:t>项目推进。61个重大产业化项目加快推进，龙蟒50万吨攀西钛精矿升级转化氯化钛渣创新工程、美利林年产10万吨耐磨材料等18个重点项目竣工投产。通过引入新的投资者、司法重整等方式，富邦钒钛、丰源矿业、立宇矿业、力欣钛业等一批重大存量盘活项目取得实质性进展。全市工业投资、技改投资同比分别增长17.6%、21.9%，分别高于全省8.4个、5.6个百分点，均排全省第10位。</w:t>
      </w:r>
    </w:p>
    <w:p w14:paraId="6983E740">
      <w:pPr>
        <w:spacing w:line="580" w:lineRule="exact"/>
        <w:ind w:firstLine="640" w:firstLineChars="200"/>
        <w:rPr>
          <w:rFonts w:eastAsia="仿宋_GB2312"/>
          <w:sz w:val="32"/>
          <w:szCs w:val="32"/>
        </w:rPr>
      </w:pPr>
      <w:r>
        <w:rPr>
          <w:rFonts w:hint="eastAsia" w:eastAsia="仿宋_GB2312"/>
          <w:sz w:val="32"/>
          <w:szCs w:val="32"/>
        </w:rPr>
        <w:t>（四）强化企业要素保障。</w:t>
      </w:r>
      <w:r>
        <w:rPr>
          <w:rFonts w:eastAsia="仿宋_GB2312"/>
          <w:sz w:val="32"/>
          <w:szCs w:val="32"/>
        </w:rPr>
        <w:t>积极落实水电消纳政策，3家发电企业与售电企业签约水电消纳电量11.5亿千瓦时；科学编制迎峰度冬有序用电、柴油市场供应保障等应急方案，全力做好要素协调保障和应急储备，超额完成20万吨电煤储备任务，累计争取铁路运价优惠8320.6万元，累计购进煤炭648.7万吨、成品油78.5万吨、天然气1.24亿m³，同比分别增长8.1%、10.9%、16.7%，有效缓解柴油、天然气供应紧张局面。</w:t>
      </w:r>
    </w:p>
    <w:p w14:paraId="21A20A31">
      <w:pPr>
        <w:pStyle w:val="2"/>
        <w:spacing w:before="93" w:line="580" w:lineRule="exact"/>
        <w:ind w:firstLine="600" w:firstLineChars="200"/>
        <w:rPr>
          <w:rFonts w:ascii="Times New Roman"/>
          <w:sz w:val="32"/>
          <w:szCs w:val="32"/>
        </w:rPr>
      </w:pPr>
      <w:r>
        <w:rPr>
          <w:rFonts w:hint="eastAsia"/>
        </w:rPr>
        <w:t>（五）</w:t>
      </w:r>
      <w:r>
        <w:rPr>
          <w:rFonts w:ascii="Times New Roman"/>
          <w:sz w:val="32"/>
          <w:szCs w:val="32"/>
        </w:rPr>
        <w:t>深化企业服务</w:t>
      </w:r>
      <w:r>
        <w:rPr>
          <w:rFonts w:hint="eastAsia" w:ascii="Times New Roman"/>
          <w:sz w:val="32"/>
          <w:szCs w:val="32"/>
        </w:rPr>
        <w:t>能力</w:t>
      </w:r>
      <w:r>
        <w:rPr>
          <w:rFonts w:ascii="Times New Roman"/>
          <w:sz w:val="32"/>
          <w:szCs w:val="32"/>
        </w:rPr>
        <w:t>。向上争取工业发展资金5128万元；携手攀钢打造“攀钢钒钛产业生态圈”，梳理形成《本地企业对攀钢集团产品需求事项》《地企协作需求事项》“两张清单”，“一项一议”推进协调19户企业原料保供和8项地企合作问题；实施民营企业“雁阵”培育计划，2户企业（钢城集团、安宁铁钛）纳入全省冲击中国民营企业500强培育企业名单，东立科技纳入全省挂牌上市民营企业培育名单。</w:t>
      </w:r>
      <w:r>
        <w:rPr>
          <w:rFonts w:hint="eastAsia" w:ascii="Times New Roman"/>
          <w:sz w:val="32"/>
          <w:szCs w:val="32"/>
        </w:rPr>
        <w:t>全市</w:t>
      </w:r>
      <w:r>
        <w:rPr>
          <w:rFonts w:ascii="Times New Roman"/>
          <w:sz w:val="32"/>
          <w:szCs w:val="32"/>
        </w:rPr>
        <w:t>规上工业企业增长面达到80.5%，其中，前50强工业企业增长面达到98%，对全市工业增长贡献率达到85.1%；规上企业实现利润总额181.6亿元，创历史新高，同比增长98.3%。</w:t>
      </w:r>
    </w:p>
    <w:p w14:paraId="26D12439">
      <w:pPr>
        <w:snapToGrid w:val="0"/>
        <w:spacing w:line="580" w:lineRule="exact"/>
        <w:ind w:firstLine="640" w:firstLineChars="200"/>
        <w:rPr>
          <w:rFonts w:eastAsia="仿宋_GB2312"/>
          <w:kern w:val="0"/>
          <w:sz w:val="32"/>
          <w:szCs w:val="32"/>
        </w:rPr>
      </w:pPr>
      <w:r>
        <w:rPr>
          <w:rFonts w:hint="eastAsia" w:eastAsia="仿宋_GB2312"/>
          <w:kern w:val="0"/>
          <w:sz w:val="32"/>
          <w:szCs w:val="32"/>
        </w:rPr>
        <w:t>（六）</w:t>
      </w:r>
      <w:r>
        <w:rPr>
          <w:rFonts w:eastAsia="仿宋_GB2312"/>
          <w:kern w:val="0"/>
          <w:sz w:val="32"/>
          <w:szCs w:val="32"/>
        </w:rPr>
        <w:t>拧紧工业生产“安全阀”。制定安全生产年度管理工作要点、监督指导服务计划和专项行动方案6个，统筹安排部署全年及重点时段安全生产工作；会同应急管理部门联合开展为期3个月的反“三违”专项行动，组织开展安全生产大排查大整治、林区输配电设施专项整治等专项行动，组织全市6个工业园区扎实开展三年专项整治攻坚，建立县区和重点企业分片区安全生产督导组7个，开展安全督导检查41次，检查企业119家次，发现一般安全隐患82处，均已完成整改。坚持工业绿色发展。强化“散乱污”企业动态“清零”，淘汰落后焙烧窑设备1台，完成15件（市级牵头4件、协助4件，县区牵头7件）第二轮中央环保督察信访件整改销号工作，攀钢钛业等5户企业创建为绿色制造示范单位（绿色工厂），淘汰落后焙烧窑设备1座、燃煤小锅炉6台，启动园区企业文明形象提升工程，整改环境形象问题112项。</w:t>
      </w:r>
    </w:p>
    <w:p w14:paraId="158A0822">
      <w:pPr>
        <w:pStyle w:val="3"/>
        <w:ind w:right="440"/>
        <w:jc w:val="center"/>
        <w:rPr>
          <w:rStyle w:val="24"/>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14:paraId="036672B2">
      <w:pPr>
        <w:pStyle w:val="23"/>
        <w:numPr>
          <w:ilvl w:val="0"/>
          <w:numId w:val="1"/>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14:paraId="30986CD7">
      <w:pPr>
        <w:spacing w:line="600" w:lineRule="exact"/>
        <w:ind w:firstLine="640" w:firstLineChars="200"/>
        <w:rPr>
          <w:rFonts w:eastAsia="仿宋"/>
          <w:color w:val="000000"/>
          <w:sz w:val="32"/>
          <w:szCs w:val="32"/>
        </w:rPr>
      </w:pPr>
      <w:r>
        <w:rPr>
          <w:rFonts w:hint="eastAsia" w:ascii="仿宋" w:hAnsi="仿宋" w:eastAsia="仿宋"/>
          <w:sz w:val="32"/>
          <w:szCs w:val="32"/>
        </w:rPr>
        <w:t>2021年度收、支总计2597.09万元。与2020年相比，收、支总计各减少1106.14万元，下降29.87</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rPr>
        <w:t>项目收支减少。</w:t>
      </w:r>
    </w:p>
    <w:p w14:paraId="370B867A">
      <w:pPr>
        <w:spacing w:line="600" w:lineRule="exact"/>
        <w:ind w:firstLine="1600" w:firstLineChars="5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1A89C1C1">
      <w:pPr>
        <w:pStyle w:val="2"/>
        <w:spacing w:before="93"/>
        <w:ind w:firstLine="750" w:firstLineChars="250"/>
      </w:pPr>
      <w:r>
        <w:drawing>
          <wp:inline distT="0" distB="0" distL="0" distR="0">
            <wp:extent cx="4572000" cy="2990215"/>
            <wp:effectExtent l="0" t="0" r="19050"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FC9AE4">
      <w:pPr>
        <w:pStyle w:val="23"/>
        <w:numPr>
          <w:ilvl w:val="0"/>
          <w:numId w:val="1"/>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14:paraId="41D6B89F">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21年本年收入合计2116.94万元，其中：一般公共预算财政拨款收入2106.81万元，占99.52</w:t>
      </w:r>
      <w:r>
        <w:rPr>
          <w:rFonts w:ascii="仿宋" w:hAnsi="仿宋" w:eastAsia="仿宋"/>
          <w:sz w:val="32"/>
          <w:szCs w:val="32"/>
        </w:rPr>
        <w:t>%</w:t>
      </w:r>
      <w:r>
        <w:rPr>
          <w:rFonts w:hint="eastAsia" w:ascii="仿宋" w:hAnsi="仿宋" w:eastAsia="仿宋"/>
          <w:sz w:val="32"/>
          <w:szCs w:val="32"/>
        </w:rPr>
        <w:t>；政府性基金预算财政拨款收入10万元，占0.47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；其他收入0.13万元，占0.01</w:t>
      </w:r>
      <w:r>
        <w:rPr>
          <w:rFonts w:ascii="仿宋" w:hAnsi="仿宋" w:eastAsia="仿宋"/>
          <w:sz w:val="32"/>
          <w:szCs w:val="32"/>
        </w:rPr>
        <w:t>%</w:t>
      </w:r>
      <w:r>
        <w:rPr>
          <w:rFonts w:hint="eastAsia" w:ascii="仿宋" w:hAnsi="仿宋" w:eastAsia="仿宋"/>
          <w:sz w:val="32"/>
          <w:szCs w:val="32"/>
        </w:rPr>
        <w:t>。</w:t>
      </w:r>
    </w:p>
    <w:p w14:paraId="5A33A8C8">
      <w:pPr>
        <w:spacing w:line="600" w:lineRule="exact"/>
        <w:ind w:firstLine="2080" w:firstLineChars="650"/>
        <w:rPr>
          <w:rFonts w:ascii="仿宋" w:hAnsi="仿宋" w:eastAsia="仿宋"/>
          <w:sz w:val="32"/>
          <w:szCs w:val="32"/>
        </w:rPr>
      </w:pPr>
      <w:r>
        <w:rPr>
          <w:rFonts w:hint="eastAsia" w:ascii="仿宋" w:hAnsi="仿宋" w:eastAsia="仿宋"/>
          <w:sz w:val="32"/>
          <w:szCs w:val="32"/>
        </w:rPr>
        <w:t>图2：收入决算结构图</w:t>
      </w:r>
    </w:p>
    <w:p w14:paraId="2D5D4541">
      <w:pPr>
        <w:pStyle w:val="2"/>
        <w:spacing w:before="93"/>
        <w:ind w:firstLine="450" w:firstLineChars="150"/>
      </w:pPr>
      <w:r>
        <w:drawing>
          <wp:inline distT="0" distB="0" distL="0" distR="0">
            <wp:extent cx="4530725" cy="2644140"/>
            <wp:effectExtent l="0" t="0" r="2222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64CBB0">
      <w:pPr>
        <w:pStyle w:val="23"/>
        <w:numPr>
          <w:ilvl w:val="0"/>
          <w:numId w:val="1"/>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68495530">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21年本年支出合计2159.43万元，其中：基本支出1949.52万元，占90.28</w:t>
      </w:r>
      <w:r>
        <w:rPr>
          <w:rFonts w:ascii="仿宋" w:hAnsi="仿宋" w:eastAsia="仿宋"/>
          <w:sz w:val="32"/>
          <w:szCs w:val="32"/>
        </w:rPr>
        <w:t>%</w:t>
      </w:r>
      <w:r>
        <w:rPr>
          <w:rFonts w:hint="eastAsia" w:ascii="仿宋" w:hAnsi="仿宋" w:eastAsia="仿宋"/>
          <w:sz w:val="32"/>
          <w:szCs w:val="32"/>
        </w:rPr>
        <w:t>；项目支出209.91万元，占9.72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69B7F226">
      <w:pPr>
        <w:spacing w:line="600" w:lineRule="exact"/>
        <w:ind w:firstLine="2080" w:firstLineChars="650"/>
        <w:rPr>
          <w:rFonts w:ascii="仿宋" w:hAnsi="仿宋" w:eastAsia="仿宋"/>
          <w:sz w:val="32"/>
          <w:szCs w:val="32"/>
        </w:rPr>
      </w:pPr>
      <w:r>
        <w:rPr>
          <w:rFonts w:hint="eastAsia" w:ascii="仿宋" w:hAnsi="仿宋" w:eastAsia="仿宋"/>
          <w:sz w:val="32"/>
          <w:szCs w:val="32"/>
        </w:rPr>
        <w:t>图3：支出决算结构图</w:t>
      </w:r>
    </w:p>
    <w:p w14:paraId="43E56F9D">
      <w:pPr>
        <w:pStyle w:val="2"/>
        <w:spacing w:before="93"/>
        <w:ind w:firstLine="1050" w:firstLineChars="350"/>
      </w:pPr>
      <w:r>
        <w:drawing>
          <wp:inline distT="0" distB="0" distL="0" distR="0">
            <wp:extent cx="3789045" cy="2111375"/>
            <wp:effectExtent l="0" t="0" r="1905" b="31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6EAB2A">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31317FC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2596.52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20年相比，财政拨款收、支总计减少1715.91万元，下降39.79</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rPr>
        <w:t>项目收支减少。</w:t>
      </w:r>
    </w:p>
    <w:p w14:paraId="20C22912">
      <w:pPr>
        <w:spacing w:line="600" w:lineRule="exact"/>
        <w:ind w:firstLine="1600" w:firstLineChars="500"/>
        <w:rPr>
          <w:rFonts w:ascii="仿宋" w:hAnsi="仿宋" w:eastAsia="仿宋"/>
          <w:sz w:val="32"/>
          <w:szCs w:val="32"/>
        </w:rPr>
      </w:pPr>
      <w:r>
        <w:rPr>
          <w:rFonts w:hint="eastAsia" w:ascii="仿宋" w:hAnsi="仿宋" w:eastAsia="仿宋"/>
          <w:sz w:val="32"/>
          <w:szCs w:val="32"/>
        </w:rPr>
        <w:t>图4：财政拨款收、支决算总计变动情况</w:t>
      </w:r>
    </w:p>
    <w:p w14:paraId="5B42E740">
      <w:pPr>
        <w:pStyle w:val="2"/>
        <w:spacing w:before="93"/>
        <w:ind w:firstLine="900" w:firstLineChars="300"/>
      </w:pPr>
      <w:r>
        <w:drawing>
          <wp:inline distT="0" distB="0" distL="0" distR="0">
            <wp:extent cx="4572000" cy="27432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4CFBA">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2C275889">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17F84C7">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21年一般公共预算财政拨款支出2145.73万元，占本年支出合计的82.62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20年相比，一般公共预算财政拨款支出减少928.08万元，下降30.19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项目支出减少。</w:t>
      </w:r>
    </w:p>
    <w:p w14:paraId="35F7C845">
      <w:pPr>
        <w:spacing w:line="600" w:lineRule="exact"/>
        <w:ind w:firstLine="800" w:firstLineChars="250"/>
        <w:rPr>
          <w:rFonts w:ascii="仿宋" w:hAnsi="仿宋" w:eastAsia="仿宋"/>
          <w:sz w:val="32"/>
          <w:szCs w:val="32"/>
        </w:rPr>
      </w:pPr>
      <w:r>
        <w:rPr>
          <w:rFonts w:hint="eastAsia" w:ascii="仿宋" w:hAnsi="仿宋" w:eastAsia="仿宋"/>
          <w:sz w:val="32"/>
          <w:szCs w:val="32"/>
        </w:rPr>
        <w:t>图5：一般公共预算财政拨款支出决算变动情况</w:t>
      </w:r>
    </w:p>
    <w:p w14:paraId="7C3C1CDC">
      <w:pPr>
        <w:pStyle w:val="2"/>
        <w:spacing w:before="93"/>
        <w:ind w:firstLine="600" w:firstLineChars="200"/>
      </w:pPr>
      <w:r>
        <w:drawing>
          <wp:inline distT="0" distB="0" distL="0" distR="0">
            <wp:extent cx="4572000" cy="2743200"/>
            <wp:effectExtent l="0" t="0" r="1905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570A5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662A84D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21年一般公共预算财政拨款支出2145.73万元，主要用于以下方面</w:t>
      </w:r>
      <w:r>
        <w:rPr>
          <w:rFonts w:ascii="仿宋" w:hAnsi="仿宋" w:eastAsia="仿宋"/>
          <w:sz w:val="32"/>
          <w:szCs w:val="32"/>
        </w:rPr>
        <w:t>:</w:t>
      </w:r>
      <w:r>
        <w:rPr>
          <w:rFonts w:hint="eastAsia" w:ascii="仿宋" w:hAnsi="仿宋" w:eastAsia="仿宋"/>
          <w:sz w:val="32"/>
          <w:szCs w:val="32"/>
        </w:rPr>
        <w:t>一般公共服务（类）支出1412.5万元，占65.83</w:t>
      </w:r>
      <w:r>
        <w:rPr>
          <w:rFonts w:ascii="仿宋" w:hAnsi="仿宋" w:eastAsia="仿宋"/>
          <w:sz w:val="32"/>
          <w:szCs w:val="32"/>
        </w:rPr>
        <w:t>%</w:t>
      </w:r>
      <w:r>
        <w:rPr>
          <w:rFonts w:hint="eastAsia" w:ascii="仿宋" w:hAnsi="仿宋" w:eastAsia="仿宋"/>
          <w:sz w:val="32"/>
          <w:szCs w:val="32"/>
        </w:rPr>
        <w:t>；科学技术（类）支出84.55万元，占3.94</w:t>
      </w:r>
      <w:r>
        <w:rPr>
          <w:rFonts w:ascii="仿宋" w:hAnsi="仿宋" w:eastAsia="仿宋"/>
          <w:sz w:val="32"/>
          <w:szCs w:val="32"/>
        </w:rPr>
        <w:t>%</w:t>
      </w:r>
      <w:r>
        <w:rPr>
          <w:rFonts w:hint="eastAsia" w:ascii="仿宋" w:hAnsi="仿宋" w:eastAsia="仿宋"/>
          <w:sz w:val="32"/>
          <w:szCs w:val="32"/>
        </w:rPr>
        <w:t>；社会保障和就业（类）支出492.51万元，占22.95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资源勘探工业信息等支出</w:t>
      </w:r>
      <w:r>
        <w:rPr>
          <w:rFonts w:hint="eastAsia" w:ascii="仿宋" w:hAnsi="仿宋" w:eastAsia="仿宋"/>
          <w:sz w:val="32"/>
          <w:szCs w:val="32"/>
        </w:rPr>
        <w:t>47万元，占2.19</w:t>
      </w:r>
      <w:r>
        <w:rPr>
          <w:rFonts w:ascii="仿宋" w:hAnsi="仿宋" w:eastAsia="仿宋"/>
          <w:sz w:val="32"/>
          <w:szCs w:val="32"/>
        </w:rPr>
        <w:t>%</w:t>
      </w:r>
      <w:r>
        <w:rPr>
          <w:rFonts w:hint="eastAsia" w:ascii="仿宋" w:hAnsi="仿宋" w:eastAsia="仿宋"/>
          <w:sz w:val="32"/>
          <w:szCs w:val="32"/>
        </w:rPr>
        <w:t>；住房保障支出109.17万元，占5.09</w:t>
      </w:r>
      <w:r>
        <w:rPr>
          <w:rFonts w:ascii="仿宋" w:hAnsi="仿宋" w:eastAsia="仿宋"/>
          <w:sz w:val="32"/>
          <w:szCs w:val="32"/>
        </w:rPr>
        <w:t>%</w:t>
      </w:r>
      <w:r>
        <w:rPr>
          <w:rFonts w:hint="eastAsia" w:ascii="仿宋" w:hAnsi="仿宋" w:eastAsia="仿宋"/>
          <w:sz w:val="32"/>
          <w:szCs w:val="32"/>
        </w:rPr>
        <w:t>。</w:t>
      </w:r>
    </w:p>
    <w:p w14:paraId="218710CD">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14:paraId="300A2917">
      <w:pPr>
        <w:pStyle w:val="2"/>
        <w:spacing w:before="93"/>
        <w:ind w:firstLine="750" w:firstLineChars="250"/>
      </w:pPr>
      <w:r>
        <w:drawing>
          <wp:inline distT="0" distB="0" distL="0" distR="0">
            <wp:extent cx="4332605" cy="2421890"/>
            <wp:effectExtent l="0" t="0" r="10795" b="165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D4F7A6">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5309C61">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2021年一般公共预算支出决算数为2145.73</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7B25C73E">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sz w:val="32"/>
          <w:szCs w:val="32"/>
        </w:rPr>
        <w:t>1.</w:t>
      </w:r>
      <w:r>
        <w:rPr>
          <w:rFonts w:hint="eastAsia" w:ascii="仿宋" w:hAnsi="仿宋" w:eastAsia="仿宋"/>
          <w:bCs/>
          <w:color w:val="000000"/>
          <w:sz w:val="32"/>
          <w:szCs w:val="32"/>
        </w:rPr>
        <w:t xml:space="preserve"> </w:t>
      </w:r>
      <w:r>
        <w:rPr>
          <w:rStyle w:val="14"/>
          <w:rFonts w:hint="eastAsia" w:ascii="仿宋" w:hAnsi="仿宋" w:eastAsia="仿宋"/>
          <w:bCs/>
          <w:color w:val="000000"/>
          <w:sz w:val="32"/>
          <w:szCs w:val="32"/>
        </w:rPr>
        <w:t>一般</w:t>
      </w:r>
      <w:r>
        <w:rPr>
          <w:rStyle w:val="14"/>
          <w:rFonts w:hint="eastAsia" w:eastAsia="仿宋"/>
          <w:bCs/>
          <w:color w:val="000000"/>
          <w:sz w:val="32"/>
          <w:szCs w:val="32"/>
        </w:rPr>
        <w:t>公共服务（类）商贸事务（款）行政运行（项）</w:t>
      </w:r>
      <w:r>
        <w:rPr>
          <w:rStyle w:val="14"/>
          <w:rFonts w:eastAsia="仿宋"/>
          <w:bCs/>
          <w:color w:val="000000"/>
          <w:sz w:val="32"/>
          <w:szCs w:val="32"/>
        </w:rPr>
        <w:t>:</w:t>
      </w:r>
      <w:r>
        <w:rPr>
          <w:rStyle w:val="14"/>
          <w:rFonts w:hint="eastAsia" w:ascii="仿宋" w:hAnsi="仿宋" w:eastAsia="仿宋"/>
          <w:b w:val="0"/>
          <w:bCs/>
          <w:color w:val="000000"/>
          <w:sz w:val="32"/>
          <w:szCs w:val="32"/>
        </w:rPr>
        <w:t>支出决算为1280.37万元，完成预算100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CE3023A">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color w:val="000000"/>
          <w:sz w:val="32"/>
          <w:szCs w:val="32"/>
        </w:rPr>
        <w:t xml:space="preserve"> 一般</w:t>
      </w:r>
      <w:r>
        <w:rPr>
          <w:rStyle w:val="14"/>
          <w:rFonts w:hint="eastAsia" w:eastAsia="仿宋"/>
          <w:bCs/>
          <w:color w:val="000000"/>
          <w:sz w:val="32"/>
          <w:szCs w:val="32"/>
        </w:rPr>
        <w:t>公共服务（类）商贸事务（款）招商引资（项）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支出决算为31.66万元，完成预算100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29C44A2">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color w:val="000000"/>
          <w:sz w:val="32"/>
          <w:szCs w:val="32"/>
        </w:rPr>
        <w:t xml:space="preserve"> 一般</w:t>
      </w:r>
      <w:r>
        <w:rPr>
          <w:rStyle w:val="14"/>
          <w:rFonts w:hint="eastAsia" w:eastAsia="仿宋"/>
          <w:bCs/>
          <w:color w:val="000000"/>
          <w:sz w:val="32"/>
          <w:szCs w:val="32"/>
        </w:rPr>
        <w:t>公共服务（类）商贸事务（款）事业运行（项）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支出决算为93.35万元，完成预算100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32BA599">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Fonts w:hint="eastAsia" w:ascii="仿宋" w:hAnsi="仿宋" w:eastAsia="仿宋"/>
          <w:bCs/>
          <w:color w:val="000000"/>
          <w:sz w:val="32"/>
          <w:szCs w:val="32"/>
        </w:rPr>
        <w:t xml:space="preserve"> </w:t>
      </w:r>
      <w:r>
        <w:rPr>
          <w:rStyle w:val="14"/>
          <w:rFonts w:hint="eastAsia" w:ascii="仿宋" w:hAnsi="仿宋" w:eastAsia="仿宋"/>
          <w:bCs/>
          <w:color w:val="000000"/>
          <w:sz w:val="32"/>
          <w:szCs w:val="32"/>
        </w:rPr>
        <w:t>一般</w:t>
      </w:r>
      <w:r>
        <w:rPr>
          <w:rStyle w:val="14"/>
          <w:rFonts w:hint="eastAsia" w:eastAsia="仿宋"/>
          <w:bCs/>
          <w:color w:val="000000"/>
          <w:sz w:val="32"/>
          <w:szCs w:val="32"/>
        </w:rPr>
        <w:t>公共服务（类）组织事务（款）其他组织事务支出（项）</w:t>
      </w:r>
      <w:r>
        <w:rPr>
          <w:rStyle w:val="14"/>
          <w:rFonts w:eastAsia="仿宋"/>
          <w:bCs/>
          <w:color w:val="000000"/>
          <w:sz w:val="32"/>
          <w:szCs w:val="32"/>
        </w:rPr>
        <w:t>:</w:t>
      </w:r>
      <w:r>
        <w:rPr>
          <w:rStyle w:val="14"/>
          <w:rFonts w:hint="eastAsia" w:ascii="仿宋" w:hAnsi="仿宋" w:eastAsia="仿宋"/>
          <w:b w:val="0"/>
          <w:bCs/>
          <w:color w:val="000000"/>
          <w:sz w:val="32"/>
          <w:szCs w:val="32"/>
        </w:rPr>
        <w:t>支出决算为7.12万元，完成预算100</w:t>
      </w:r>
      <w:r>
        <w:rPr>
          <w:rStyle w:val="14"/>
          <w:rFonts w:ascii="仿宋" w:hAnsi="仿宋" w:eastAsia="仿宋"/>
          <w:b w:val="0"/>
          <w:bCs/>
          <w:color w:val="000000"/>
          <w:sz w:val="32"/>
          <w:szCs w:val="32"/>
        </w:rPr>
        <w:t>%</w:t>
      </w:r>
      <w:r>
        <w:rPr>
          <w:rStyle w:val="14"/>
          <w:rFonts w:hint="eastAsia" w:ascii="仿宋" w:hAnsi="仿宋" w:eastAsia="仿宋"/>
          <w:b w:val="0"/>
          <w:bCs/>
          <w:sz w:val="32"/>
          <w:szCs w:val="32"/>
        </w:rPr>
        <w:t>。</w:t>
      </w:r>
    </w:p>
    <w:p w14:paraId="1DAC1A41">
      <w:pPr>
        <w:spacing w:line="600" w:lineRule="exact"/>
        <w:ind w:firstLine="643" w:firstLineChars="200"/>
        <w:rPr>
          <w:rFonts w:ascii="仿宋" w:hAnsi="仿宋" w:eastAsia="仿宋"/>
          <w:b/>
          <w:color w:val="000000"/>
          <w:sz w:val="32"/>
          <w:szCs w:val="32"/>
        </w:rPr>
      </w:pPr>
      <w:r>
        <w:rPr>
          <w:rStyle w:val="14"/>
          <w:rFonts w:ascii="仿宋" w:hAnsi="仿宋" w:eastAsia="仿宋"/>
          <w:bCs/>
          <w:sz w:val="32"/>
          <w:szCs w:val="32"/>
        </w:rPr>
        <w:t>5.</w:t>
      </w:r>
      <w:r>
        <w:rPr>
          <w:rFonts w:hint="eastAsia" w:ascii="仿宋" w:hAnsi="仿宋" w:eastAsia="仿宋"/>
          <w:bCs/>
          <w:color w:val="000000"/>
          <w:sz w:val="32"/>
          <w:szCs w:val="32"/>
        </w:rPr>
        <w:t xml:space="preserve"> </w:t>
      </w:r>
      <w:r>
        <w:rPr>
          <w:rStyle w:val="14"/>
          <w:rFonts w:hint="eastAsia" w:ascii="仿宋" w:hAnsi="仿宋" w:eastAsia="仿宋"/>
          <w:bCs/>
          <w:color w:val="000000"/>
          <w:sz w:val="32"/>
          <w:szCs w:val="32"/>
        </w:rPr>
        <w:t>科学技术（类）科学技术管理事务（款）其他科学技术管理事务支出（项）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支出决算为84.55万元，完成预算100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C4E9D66">
      <w:pPr>
        <w:spacing w:line="600" w:lineRule="exact"/>
        <w:ind w:firstLine="643" w:firstLineChars="200"/>
        <w:rPr>
          <w:rFonts w:ascii="仿宋" w:hAnsi="仿宋" w:eastAsia="仿宋"/>
          <w:b/>
          <w:bCs/>
          <w:sz w:val="32"/>
          <w:szCs w:val="32"/>
        </w:rPr>
      </w:pPr>
      <w:r>
        <w:rPr>
          <w:rStyle w:val="14"/>
          <w:rFonts w:ascii="仿宋" w:hAnsi="仿宋" w:eastAsia="仿宋"/>
          <w:bCs/>
          <w:sz w:val="32"/>
          <w:szCs w:val="32"/>
        </w:rPr>
        <w:t>6.</w:t>
      </w:r>
      <w:r>
        <w:rPr>
          <w:rStyle w:val="14"/>
          <w:rFonts w:hint="eastAsia" w:ascii="仿宋" w:hAnsi="仿宋" w:eastAsia="仿宋"/>
          <w:bCs/>
          <w:sz w:val="32"/>
          <w:szCs w:val="32"/>
        </w:rPr>
        <w:t xml:space="preserve"> 社会保障和就业（类）人力资源和社会保障管理事务（款）其他人力资源和社会保障管理事务支出（项）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支出决算为34.2万元，完成预算100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8F91ADB">
      <w:pPr>
        <w:spacing w:line="600" w:lineRule="exact"/>
        <w:ind w:firstLine="643" w:firstLineChars="200"/>
        <w:rPr>
          <w:rFonts w:ascii="仿宋" w:hAnsi="仿宋" w:eastAsia="仿宋"/>
          <w:b/>
          <w:bCs/>
          <w:sz w:val="32"/>
          <w:szCs w:val="32"/>
        </w:rPr>
      </w:pPr>
      <w:r>
        <w:rPr>
          <w:rStyle w:val="14"/>
          <w:rFonts w:hint="eastAsia" w:ascii="仿宋" w:hAnsi="仿宋" w:eastAsia="仿宋"/>
          <w:bCs/>
          <w:sz w:val="32"/>
          <w:szCs w:val="32"/>
        </w:rPr>
        <w:t>7</w:t>
      </w:r>
      <w:r>
        <w:rPr>
          <w:rStyle w:val="14"/>
          <w:rFonts w:ascii="仿宋" w:hAnsi="仿宋" w:eastAsia="仿宋"/>
          <w:bCs/>
          <w:sz w:val="32"/>
          <w:szCs w:val="32"/>
        </w:rPr>
        <w:t>.</w:t>
      </w:r>
      <w:r>
        <w:rPr>
          <w:rFonts w:hint="eastAsia" w:ascii="仿宋" w:hAnsi="仿宋" w:eastAsia="仿宋" w:cs="仿宋"/>
          <w:color w:val="000000"/>
          <w:sz w:val="32"/>
          <w:szCs w:val="32"/>
        </w:rPr>
        <w:t xml:space="preserve"> </w:t>
      </w:r>
      <w:r>
        <w:rPr>
          <w:rStyle w:val="14"/>
          <w:rFonts w:hint="eastAsia" w:ascii="仿宋" w:hAnsi="仿宋" w:eastAsia="仿宋"/>
          <w:bCs/>
          <w:sz w:val="32"/>
          <w:szCs w:val="32"/>
        </w:rPr>
        <w:t>社会保障和就业（类）</w:t>
      </w:r>
      <w:r>
        <w:rPr>
          <w:rStyle w:val="14"/>
          <w:rFonts w:hint="eastAsia" w:ascii="仿宋" w:hAnsi="仿宋" w:eastAsia="仿宋" w:cs="仿宋"/>
          <w:color w:val="000000"/>
          <w:sz w:val="32"/>
          <w:szCs w:val="32"/>
        </w:rPr>
        <w:t>行政事业单位养老支出</w:t>
      </w:r>
      <w:r>
        <w:rPr>
          <w:rStyle w:val="14"/>
          <w:rFonts w:hint="eastAsia" w:ascii="仿宋" w:hAnsi="仿宋" w:eastAsia="仿宋"/>
          <w:bCs/>
          <w:sz w:val="32"/>
          <w:szCs w:val="32"/>
        </w:rPr>
        <w:t>（款）  行政单位离退休（项）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支出决算为334.43万元，完成预算100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5C9011D">
      <w:pPr>
        <w:spacing w:line="600" w:lineRule="exact"/>
        <w:ind w:firstLine="643" w:firstLineChars="200"/>
        <w:rPr>
          <w:rFonts w:ascii="仿宋" w:hAnsi="仿宋" w:eastAsia="仿宋"/>
          <w:b/>
          <w:bCs/>
          <w:sz w:val="32"/>
          <w:szCs w:val="32"/>
        </w:rPr>
      </w:pPr>
      <w:r>
        <w:rPr>
          <w:rStyle w:val="14"/>
          <w:rFonts w:hint="eastAsia" w:ascii="仿宋" w:hAnsi="仿宋" w:eastAsia="仿宋"/>
          <w:bCs/>
          <w:sz w:val="32"/>
          <w:szCs w:val="32"/>
        </w:rPr>
        <w:t>8. 社会保障和就业（类）</w:t>
      </w:r>
      <w:r>
        <w:rPr>
          <w:rStyle w:val="14"/>
          <w:rFonts w:hint="eastAsia" w:ascii="仿宋" w:hAnsi="仿宋" w:eastAsia="仿宋" w:cs="仿宋"/>
          <w:color w:val="000000"/>
          <w:sz w:val="32"/>
          <w:szCs w:val="32"/>
        </w:rPr>
        <w:t>行政事业单位养老支出</w:t>
      </w:r>
      <w:r>
        <w:rPr>
          <w:rStyle w:val="14"/>
          <w:rFonts w:hint="eastAsia" w:ascii="仿宋" w:hAnsi="仿宋" w:eastAsia="仿宋"/>
          <w:bCs/>
          <w:sz w:val="32"/>
          <w:szCs w:val="32"/>
        </w:rPr>
        <w:t>（款）    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支出决算为102.05万元，完成预算100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4FF35488">
      <w:pPr>
        <w:spacing w:line="600" w:lineRule="exact"/>
        <w:ind w:firstLine="643"/>
        <w:rPr>
          <w:rStyle w:val="14"/>
          <w:rFonts w:ascii="仿宋" w:hAnsi="仿宋" w:eastAsia="仿宋" w:cs="仿宋"/>
          <w:color w:val="000000"/>
          <w:sz w:val="32"/>
          <w:szCs w:val="32"/>
        </w:rPr>
      </w:pPr>
      <w:r>
        <w:rPr>
          <w:rStyle w:val="14"/>
          <w:rFonts w:hint="eastAsia" w:ascii="仿宋" w:hAnsi="仿宋" w:eastAsia="仿宋"/>
          <w:bCs/>
          <w:sz w:val="32"/>
          <w:szCs w:val="32"/>
        </w:rPr>
        <w:t>9.</w:t>
      </w:r>
      <w:r>
        <w:rPr>
          <w:rFonts w:hint="eastAsia" w:ascii="仿宋" w:hAnsi="仿宋" w:eastAsia="仿宋" w:cs="仿宋"/>
          <w:color w:val="000000"/>
          <w:sz w:val="32"/>
          <w:szCs w:val="32"/>
        </w:rPr>
        <w:t xml:space="preserve"> </w:t>
      </w:r>
      <w:r>
        <w:rPr>
          <w:rStyle w:val="14"/>
          <w:rFonts w:hint="eastAsia" w:ascii="仿宋" w:hAnsi="仿宋" w:eastAsia="仿宋" w:cs="仿宋"/>
          <w:color w:val="000000"/>
          <w:sz w:val="32"/>
          <w:szCs w:val="32"/>
        </w:rPr>
        <w:t>社会保障和就业（类）抚恤（款）死亡抚恤（项）：</w:t>
      </w:r>
    </w:p>
    <w:p w14:paraId="44A7BB30">
      <w:pPr>
        <w:spacing w:line="600" w:lineRule="exact"/>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支出决算为21.83万元，完成预算100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358D0A7">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sz w:val="32"/>
          <w:szCs w:val="32"/>
        </w:rPr>
        <w:t>10.</w:t>
      </w:r>
      <w:r>
        <w:rPr>
          <w:rFonts w:hint="eastAsia" w:ascii="仿宋" w:hAnsi="仿宋" w:eastAsia="仿宋" w:cs="仿宋"/>
          <w:color w:val="000000"/>
          <w:sz w:val="32"/>
          <w:szCs w:val="32"/>
        </w:rPr>
        <w:t xml:space="preserve"> </w:t>
      </w:r>
      <w:r>
        <w:rPr>
          <w:rStyle w:val="14"/>
          <w:rFonts w:hint="eastAsia" w:ascii="仿宋" w:hAnsi="仿宋" w:eastAsia="仿宋" w:cs="仿宋"/>
          <w:color w:val="000000"/>
          <w:sz w:val="32"/>
          <w:szCs w:val="32"/>
        </w:rPr>
        <w:t>资源勘探工业信息等支出（类）制造业（款）其他制造业支出（项）：</w:t>
      </w:r>
      <w:r>
        <w:rPr>
          <w:rStyle w:val="14"/>
          <w:rFonts w:hint="eastAsia" w:ascii="仿宋" w:hAnsi="仿宋" w:eastAsia="仿宋"/>
          <w:b w:val="0"/>
          <w:bCs/>
          <w:color w:val="000000"/>
          <w:sz w:val="32"/>
          <w:szCs w:val="32"/>
        </w:rPr>
        <w:t>支出决算为37万元，完成预算100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6A55CB1">
      <w:pPr>
        <w:pStyle w:val="2"/>
        <w:spacing w:before="93"/>
        <w:ind w:firstLine="630" w:firstLineChars="196"/>
        <w:rPr>
          <w:rStyle w:val="14"/>
          <w:rFonts w:ascii="仿宋" w:hAnsi="仿宋" w:eastAsia="仿宋"/>
          <w:b w:val="0"/>
          <w:bCs/>
          <w:color w:val="000000"/>
          <w:sz w:val="32"/>
          <w:szCs w:val="32"/>
        </w:rPr>
      </w:pPr>
      <w:r>
        <w:rPr>
          <w:rFonts w:hint="eastAsia" w:ascii="仿宋" w:hAnsi="仿宋" w:eastAsia="仿宋"/>
          <w:b/>
          <w:sz w:val="32"/>
          <w:szCs w:val="32"/>
        </w:rPr>
        <w:t>11.</w:t>
      </w:r>
      <w:r>
        <w:rPr>
          <w:rStyle w:val="14"/>
          <w:rFonts w:hint="eastAsia" w:ascii="仿宋" w:hAnsi="仿宋" w:eastAsia="仿宋" w:cs="仿宋"/>
          <w:color w:val="000000"/>
          <w:sz w:val="32"/>
          <w:szCs w:val="32"/>
        </w:rPr>
        <w:t xml:space="preserve"> 资源勘探工业信息等支出（类）工业和信息产业监管（款）其他工业和信息产业监管支出（项）：</w:t>
      </w:r>
      <w:r>
        <w:rPr>
          <w:rStyle w:val="14"/>
          <w:rFonts w:hint="eastAsia" w:ascii="仿宋" w:hAnsi="仿宋" w:eastAsia="仿宋"/>
          <w:b w:val="0"/>
          <w:bCs/>
          <w:color w:val="000000"/>
          <w:sz w:val="32"/>
          <w:szCs w:val="32"/>
        </w:rPr>
        <w:t>支出决算为10万元，完成预算100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1159F44">
      <w:pPr>
        <w:pStyle w:val="2"/>
        <w:spacing w:before="93"/>
        <w:ind w:firstLine="630" w:firstLineChars="196"/>
        <w:rPr>
          <w:b/>
        </w:rPr>
      </w:pPr>
      <w:r>
        <w:rPr>
          <w:rStyle w:val="14"/>
          <w:rFonts w:hint="eastAsia" w:ascii="仿宋" w:hAnsi="仿宋" w:eastAsia="仿宋" w:cs="仿宋"/>
          <w:color w:val="000000"/>
          <w:sz w:val="32"/>
          <w:szCs w:val="32"/>
        </w:rPr>
        <w:t>12. 住房保障支出（类）住房改革支出（款）住房公积金（项）：</w:t>
      </w:r>
      <w:r>
        <w:rPr>
          <w:rStyle w:val="14"/>
          <w:rFonts w:hint="eastAsia" w:ascii="仿宋" w:hAnsi="仿宋" w:eastAsia="仿宋"/>
          <w:b w:val="0"/>
          <w:bCs/>
          <w:color w:val="000000"/>
          <w:sz w:val="32"/>
          <w:szCs w:val="32"/>
        </w:rPr>
        <w:t>支出决算为109.17万元，完成预算100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C986179">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14:paraId="3CDF4E1A">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21年一般公共预算财政拨款基本支出1949.52万元，其中：</w:t>
      </w:r>
    </w:p>
    <w:p w14:paraId="78E384C6">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1823.32</w:t>
      </w:r>
      <w:r>
        <w:rPr>
          <w:rFonts w:hint="eastAsia" w:ascii="仿宋" w:hAnsi="仿宋" w:eastAsia="仿宋"/>
          <w:sz w:val="32"/>
          <w:szCs w:val="32"/>
        </w:rPr>
        <w:t>万元，主要包括：基本工资、津贴补贴、奖金、绩效工资、机关事业单位基本养老保险缴费、其他社会保障缴费、其他工资福利支出、离休费、抚恤金、生活补助、医疗费补助、住房公积金、其他对个人和家庭的补助支出等。</w:t>
      </w:r>
    </w:p>
    <w:p w14:paraId="14FEA5AD">
      <w:pPr>
        <w:spacing w:line="600" w:lineRule="exact"/>
        <w:ind w:firstLine="645"/>
        <w:rPr>
          <w:rFonts w:ascii="仿宋" w:hAnsi="仿宋" w:eastAsia="仿宋"/>
          <w:sz w:val="32"/>
          <w:szCs w:val="32"/>
        </w:rPr>
      </w:pPr>
      <w:r>
        <w:rPr>
          <w:rFonts w:hint="eastAsia" w:ascii="仿宋" w:hAnsi="仿宋" w:eastAsia="仿宋"/>
          <w:sz w:val="32"/>
          <w:szCs w:val="32"/>
        </w:rPr>
        <w:t>公用经费126.2万元，主要包括：办公费、印刷费、手续费、水费、电费、邮电费、物业管理费、差旅费、维修（护）费、会议费、培训费、公务接待费、劳务费、工会经费、福利费、公务用车运行维护费、其他交通费、其他商品和服务支出等。</w:t>
      </w:r>
    </w:p>
    <w:p w14:paraId="5F200064">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14:paraId="66ED6155">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E82F725">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21年“三公”经费财政拨款支出决算为5.97万元，完成预算100</w:t>
      </w:r>
      <w:r>
        <w:rPr>
          <w:rFonts w:ascii="仿宋" w:hAnsi="仿宋" w:eastAsia="仿宋"/>
          <w:sz w:val="32"/>
          <w:szCs w:val="32"/>
        </w:rPr>
        <w:t>%</w:t>
      </w:r>
      <w:r>
        <w:rPr>
          <w:rFonts w:hint="eastAsia" w:ascii="仿宋" w:hAnsi="仿宋" w:eastAsia="仿宋"/>
          <w:sz w:val="32"/>
          <w:szCs w:val="32"/>
        </w:rPr>
        <w:t>。</w:t>
      </w:r>
      <w:r>
        <w:rPr>
          <w:rFonts w:ascii="仿宋" w:hAnsi="仿宋" w:eastAsia="仿宋"/>
          <w:b/>
          <w:sz w:val="32"/>
          <w:szCs w:val="32"/>
        </w:rPr>
        <w:t xml:space="preserve"> </w:t>
      </w:r>
    </w:p>
    <w:p w14:paraId="74EEF324">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F4D4A9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；公务用车购置及运行维护费支出决算4.74万元，占79.4</w:t>
      </w:r>
      <w:r>
        <w:rPr>
          <w:rFonts w:ascii="仿宋" w:hAnsi="仿宋" w:eastAsia="仿宋"/>
          <w:sz w:val="32"/>
          <w:szCs w:val="32"/>
        </w:rPr>
        <w:t>%</w:t>
      </w:r>
      <w:r>
        <w:rPr>
          <w:rFonts w:hint="eastAsia" w:ascii="仿宋" w:hAnsi="仿宋" w:eastAsia="仿宋"/>
          <w:sz w:val="32"/>
          <w:szCs w:val="32"/>
        </w:rPr>
        <w:t>；公务接待费支出决算1.24万元，占20.77</w:t>
      </w:r>
      <w:r>
        <w:rPr>
          <w:rFonts w:ascii="仿宋" w:hAnsi="仿宋" w:eastAsia="仿宋"/>
          <w:sz w:val="32"/>
          <w:szCs w:val="32"/>
        </w:rPr>
        <w:t>%</w:t>
      </w:r>
      <w:r>
        <w:rPr>
          <w:rFonts w:hint="eastAsia" w:ascii="仿宋" w:hAnsi="仿宋" w:eastAsia="仿宋"/>
          <w:sz w:val="32"/>
          <w:szCs w:val="32"/>
        </w:rPr>
        <w:t>。具体情况如下：</w:t>
      </w:r>
    </w:p>
    <w:p w14:paraId="3F2286FF">
      <w:pPr>
        <w:spacing w:line="600" w:lineRule="exact"/>
        <w:ind w:firstLine="1280" w:firstLineChars="400"/>
        <w:rPr>
          <w:rFonts w:ascii="仿宋" w:hAnsi="仿宋" w:eastAsia="仿宋"/>
          <w:sz w:val="32"/>
          <w:szCs w:val="32"/>
        </w:rPr>
      </w:pPr>
      <w:r>
        <w:rPr>
          <w:rFonts w:hint="eastAsia" w:ascii="仿宋" w:hAnsi="仿宋" w:eastAsia="仿宋"/>
          <w:sz w:val="32"/>
          <w:szCs w:val="32"/>
        </w:rPr>
        <w:t>图7：“三公”经费财政拨款支出结构</w:t>
      </w:r>
    </w:p>
    <w:p w14:paraId="0E319197">
      <w:pPr>
        <w:pStyle w:val="2"/>
        <w:spacing w:before="93"/>
        <w:ind w:firstLine="320" w:firstLineChars="100"/>
      </w:pPr>
      <w:r>
        <w:rPr>
          <w:rFonts w:ascii="仿宋" w:hAnsi="仿宋" w:eastAsia="仿宋"/>
          <w:color w:val="000000"/>
          <w:sz w:val="32"/>
          <w:szCs w:val="32"/>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CA5A6D">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w:t>
      </w:r>
    </w:p>
    <w:p w14:paraId="3898B5B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4.74万元,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以上。</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20年减少0.03万元，下降0.63</w:t>
      </w:r>
      <w:r>
        <w:rPr>
          <w:rFonts w:ascii="仿宋_GB2312" w:eastAsia="仿宋_GB2312"/>
          <w:sz w:val="32"/>
          <w:szCs w:val="32"/>
        </w:rPr>
        <w:t>%</w:t>
      </w:r>
      <w:r>
        <w:rPr>
          <w:rFonts w:hint="eastAsia" w:ascii="仿宋_GB2312" w:eastAsia="仿宋_GB2312"/>
          <w:sz w:val="32"/>
          <w:szCs w:val="32"/>
        </w:rPr>
        <w:t>。主要原因是严格执行中央八项规定,节约“三公”经费开支。</w:t>
      </w:r>
      <w:r>
        <w:rPr>
          <w:rFonts w:hint="eastAsia" w:ascii="仿宋_GB2312" w:eastAsia="仿宋_GB2312"/>
          <w:color w:val="000000"/>
          <w:sz w:val="32"/>
          <w:szCs w:val="32"/>
        </w:rPr>
        <w:t>但因</w:t>
      </w:r>
      <w:r>
        <w:rPr>
          <w:rFonts w:hint="eastAsia" w:ascii="仿宋_GB2312" w:eastAsia="仿宋_GB2312"/>
          <w:sz w:val="32"/>
          <w:szCs w:val="32"/>
        </w:rPr>
        <w:t>我局公务用车于2011年购入，因车龄时间长，维修维护成本增加，2021年多次出现严重故障，并多次送厂维修，实际产生较多维修费用，最终导致公务用车运行维护费大于年初预算数</w:t>
      </w:r>
      <w:r>
        <w:rPr>
          <w:rFonts w:hint="eastAsia" w:ascii="仿宋_GB2312" w:eastAsia="仿宋_GB2312"/>
          <w:color w:val="000000"/>
          <w:sz w:val="32"/>
          <w:szCs w:val="32"/>
        </w:rPr>
        <w:t>。</w:t>
      </w:r>
    </w:p>
    <w:p w14:paraId="42015E8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14:paraId="1C5CA22A">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4.74万元。主要用于保障我局日常开展经济运行综合协调工作，开展工业经济、民营经济及信息产业相关活动所需的公务用车燃料费、维修费、过路过桥费、保险费等支出。</w:t>
      </w:r>
    </w:p>
    <w:p w14:paraId="3A20E045">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1.24万元，</w:t>
      </w:r>
      <w:r>
        <w:rPr>
          <w:rStyle w:val="14"/>
          <w:rFonts w:hint="eastAsia" w:ascii="仿宋" w:hAnsi="仿宋" w:eastAsia="仿宋"/>
          <w:b w:val="0"/>
          <w:bCs/>
          <w:sz w:val="32"/>
          <w:szCs w:val="32"/>
        </w:rPr>
        <w:t>完成预算38.15</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20年增加0.01万元，增长0.8</w:t>
      </w:r>
      <w:r>
        <w:rPr>
          <w:rFonts w:ascii="仿宋_GB2312" w:eastAsia="仿宋_GB2312"/>
          <w:sz w:val="32"/>
          <w:szCs w:val="32"/>
        </w:rPr>
        <w:t>%</w:t>
      </w:r>
      <w:r>
        <w:rPr>
          <w:rFonts w:hint="eastAsia" w:ascii="仿宋_GB2312" w:eastAsia="仿宋_GB2312"/>
          <w:sz w:val="32"/>
          <w:szCs w:val="32"/>
        </w:rPr>
        <w:t>。主要原因是比接待人数2020年增加2人。其中：</w:t>
      </w:r>
    </w:p>
    <w:p w14:paraId="676FA81E">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1.24</w:t>
      </w:r>
      <w:r>
        <w:rPr>
          <w:rFonts w:hint="eastAsia" w:ascii="仿宋_GB2312" w:eastAsia="仿宋_GB2312"/>
          <w:sz w:val="32"/>
          <w:szCs w:val="32"/>
        </w:rPr>
        <w:t>万元，</w:t>
      </w:r>
      <w:r>
        <w:rPr>
          <w:rFonts w:hint="eastAsia" w:ascii="仿宋" w:hAnsi="仿宋" w:eastAsia="仿宋"/>
          <w:color w:val="000000"/>
          <w:sz w:val="32"/>
          <w:szCs w:val="32"/>
        </w:rPr>
        <w:t>主要用于</w:t>
      </w:r>
      <w:r>
        <w:rPr>
          <w:rFonts w:hint="eastAsia" w:ascii="仿宋" w:hAnsi="仿宋" w:eastAsia="仿宋" w:cs="仿宋_GB2312"/>
          <w:color w:val="000000"/>
          <w:sz w:val="32"/>
          <w:szCs w:val="32"/>
        </w:rPr>
        <w:t>我局</w:t>
      </w:r>
      <w:r>
        <w:rPr>
          <w:rFonts w:hint="eastAsia" w:ascii="仿宋" w:hAnsi="仿宋" w:eastAsia="仿宋"/>
          <w:color w:val="000000"/>
          <w:sz w:val="32"/>
          <w:szCs w:val="32"/>
        </w:rPr>
        <w:t>执行公务、开展业务活动开支的交通费、住宿费、用餐费等</w:t>
      </w:r>
      <w:r>
        <w:rPr>
          <w:rFonts w:hint="eastAsia" w:ascii="仿宋_GB2312" w:eastAsia="仿宋_GB2312"/>
          <w:color w:val="000000"/>
          <w:sz w:val="32"/>
          <w:szCs w:val="32"/>
        </w:rPr>
        <w:t>。国内公务接待12批次，101人次（不包括陪同人员），共计支出1.24万元，具体内容包括：</w:t>
      </w:r>
      <w:r>
        <w:rPr>
          <w:rFonts w:hint="eastAsia" w:ascii="仿宋_GB2312" w:eastAsia="仿宋_GB2312"/>
          <w:sz w:val="32"/>
          <w:szCs w:val="32"/>
        </w:rPr>
        <w:t>对接其他地市（州）相关部门公务接待费0.74万元，对接省级相关部门公务接待费0.5万元。</w:t>
      </w:r>
    </w:p>
    <w:p w14:paraId="764A4813">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万元，外事接待0批次，0人，共计支出0万元0。</w:t>
      </w:r>
    </w:p>
    <w:p w14:paraId="7447291E">
      <w:pPr>
        <w:spacing w:line="600" w:lineRule="exact"/>
        <w:ind w:firstLine="640"/>
        <w:outlineLvl w:val="1"/>
        <w:rPr>
          <w:rStyle w:val="25"/>
          <w:rFonts w:ascii="黑体" w:hAnsi="黑体" w:eastAsia="黑体"/>
        </w:rPr>
      </w:pPr>
      <w:bookmarkStart w:id="40" w:name="_Toc15396610"/>
      <w:bookmarkStart w:id="41"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12646C6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21年政府性基金预算财政拨款支出13.71万元。</w:t>
      </w:r>
    </w:p>
    <w:p w14:paraId="2EBBEC26">
      <w:pPr>
        <w:numPr>
          <w:ilvl w:val="0"/>
          <w:numId w:val="2"/>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14:paraId="0FD99D1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562CFCF2">
      <w:pPr>
        <w:numPr>
          <w:ilvl w:val="0"/>
          <w:numId w:val="2"/>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14:paraId="4FC3BBA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F199AA7">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21年，市经济和信息化局机关运行经费支出126.2万元，比</w:t>
      </w:r>
      <w:r>
        <w:rPr>
          <w:rFonts w:ascii="仿宋_GB2312" w:eastAsia="仿宋_GB2312"/>
          <w:sz w:val="32"/>
          <w:szCs w:val="32"/>
        </w:rPr>
        <w:t>20</w:t>
      </w:r>
      <w:r>
        <w:rPr>
          <w:rFonts w:hint="eastAsia" w:ascii="仿宋_GB2312" w:eastAsia="仿宋_GB2312"/>
          <w:sz w:val="32"/>
          <w:szCs w:val="32"/>
        </w:rPr>
        <w:t>20年增加24.07万元，增长23.56</w:t>
      </w:r>
      <w:r>
        <w:rPr>
          <w:rFonts w:ascii="仿宋_GB2312" w:eastAsia="仿宋_GB2312"/>
          <w:sz w:val="32"/>
          <w:szCs w:val="32"/>
        </w:rPr>
        <w:t>%</w:t>
      </w:r>
      <w:r>
        <w:rPr>
          <w:rFonts w:hint="eastAsia" w:ascii="仿宋_GB2312" w:eastAsia="仿宋_GB2312"/>
          <w:sz w:val="32"/>
          <w:szCs w:val="32"/>
        </w:rPr>
        <w:t>，主要原因是新增人员造成运行经费增加。</w:t>
      </w:r>
    </w:p>
    <w:p w14:paraId="080786D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46CC85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21年，市经济和信息化局政府采购支出总额0万元，其中：政府采购货物支出0万元、政府采购工程支出0万元、政府采购服务支出0万元。0授予中小企业合同金额0万元，占政府采购支出总额的0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4173111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2CA0BA0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日，市经济和信息化局共有车辆1辆，其中：主要领导干部用车0辆、机要通信用车0辆、应急保障用车0辆、其他用车1辆，</w:t>
      </w:r>
      <w:r>
        <w:rPr>
          <w:rFonts w:hint="eastAsia" w:ascii="仿宋_GB2312" w:eastAsia="仿宋_GB2312" w:cs="仿宋_GB2312"/>
          <w:color w:val="000000"/>
          <w:sz w:val="32"/>
          <w:szCs w:val="32"/>
        </w:rPr>
        <w:t>特种专业技术用车0辆。</w:t>
      </w:r>
      <w:r>
        <w:rPr>
          <w:rFonts w:hint="eastAsia" w:ascii="仿宋_GB2312" w:eastAsia="仿宋_GB2312"/>
          <w:color w:val="000000"/>
          <w:sz w:val="32"/>
          <w:szCs w:val="32"/>
        </w:rPr>
        <w:t>其他用车主要是用于</w:t>
      </w:r>
      <w:r>
        <w:rPr>
          <w:rFonts w:hint="eastAsia" w:ascii="仿宋" w:hAnsi="仿宋" w:eastAsia="仿宋" w:cs="仿宋_GB2312"/>
          <w:color w:val="000000"/>
          <w:sz w:val="32"/>
          <w:szCs w:val="32"/>
        </w:rPr>
        <w:t>主要用于保障我局开展</w:t>
      </w:r>
      <w:r>
        <w:rPr>
          <w:rFonts w:hint="eastAsia" w:ascii="仿宋" w:hAnsi="仿宋" w:eastAsia="仿宋"/>
          <w:color w:val="000000"/>
          <w:sz w:val="32"/>
          <w:szCs w:val="32"/>
        </w:rPr>
        <w:t>日常</w:t>
      </w:r>
      <w:r>
        <w:rPr>
          <w:rFonts w:ascii="仿宋" w:hAnsi="仿宋" w:eastAsia="仿宋"/>
          <w:color w:val="000000"/>
          <w:sz w:val="32"/>
          <w:szCs w:val="32"/>
        </w:rPr>
        <w:t>各项工作等</w:t>
      </w:r>
      <w:r>
        <w:rPr>
          <w:rFonts w:hint="eastAsia" w:ascii="仿宋" w:hAnsi="仿宋" w:eastAsia="仿宋"/>
          <w:color w:val="000000"/>
          <w:sz w:val="32"/>
          <w:szCs w:val="32"/>
        </w:rPr>
        <w:t>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万元以上通用设备3台（套），单价</w:t>
      </w:r>
      <w:r>
        <w:rPr>
          <w:rFonts w:ascii="仿宋_GB2312" w:eastAsia="仿宋_GB2312"/>
          <w:sz w:val="32"/>
          <w:szCs w:val="32"/>
        </w:rPr>
        <w:t>100</w:t>
      </w:r>
      <w:r>
        <w:rPr>
          <w:rFonts w:hint="eastAsia" w:ascii="仿宋_GB2312" w:eastAsia="仿宋_GB2312"/>
          <w:sz w:val="32"/>
          <w:szCs w:val="32"/>
        </w:rPr>
        <w:t>万元以上专用设备0台（套）。</w:t>
      </w:r>
    </w:p>
    <w:p w14:paraId="4EA0DD5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BECF34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市经济和信息化局在2021年度预算编制阶段，组织对工业招商引资、电子政务外网租赁费和协同办公平台运行维护费等6个项目开展了预算事前绩效评估，对6个项目编制了绩效目标，预算执行过程中，选取6个项目开展绩效监控，年终执行完毕后，对6个项目开展了绩效自评，2021年特定目标类部门预算项目绩效目标自评表见附件（第四部分）。同时，本单位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开展绩效自评，从评价情况来看部门支出绩效指标均达到了预期设定的目标值，绩效目标完成较好，出色的完成了上级下达的目标任务。此外，本部门还自行组织了2个项目支出绩效评价，从评价情况来看绩效指标均达到了预期设定的目标值，高质量完成目标任务。</w:t>
      </w:r>
    </w:p>
    <w:p w14:paraId="58516906">
      <w:pPr>
        <w:pStyle w:val="2"/>
        <w:spacing w:before="93"/>
      </w:pPr>
    </w:p>
    <w:p w14:paraId="33792273">
      <w:pPr>
        <w:pStyle w:val="2"/>
        <w:spacing w:before="93"/>
      </w:pPr>
    </w:p>
    <w:p w14:paraId="1634BF3F">
      <w:pPr>
        <w:numPr>
          <w:ilvl w:val="0"/>
          <w:numId w:val="3"/>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73A9CACD">
      <w:pPr>
        <w:spacing w:line="600" w:lineRule="exact"/>
        <w:jc w:val="left"/>
        <w:rPr>
          <w:rFonts w:ascii="宋体"/>
          <w:b/>
          <w:sz w:val="44"/>
          <w:szCs w:val="44"/>
        </w:rPr>
      </w:pPr>
    </w:p>
    <w:p w14:paraId="7D0F1374">
      <w:pPr>
        <w:pStyle w:val="22"/>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A09DF9D">
      <w:pPr>
        <w:pStyle w:val="22"/>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 xml:space="preserve"> 其他收入：指单位取得的除上述收入以外的各项收入。主要是利息收入。</w:t>
      </w:r>
    </w:p>
    <w:p w14:paraId="687C5272">
      <w:pPr>
        <w:pStyle w:val="22"/>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 xml:space="preserve"> 年初结转和结余：指以前年度尚未完成、结转到本年按有关规定继续使用的资金。</w:t>
      </w:r>
    </w:p>
    <w:p w14:paraId="7C3879C9">
      <w:pPr>
        <w:pStyle w:val="22"/>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 xml:space="preserve"> 年末结转和结余：指单位按有关规定结转到下年或以后年度继续使用的资金。</w:t>
      </w:r>
    </w:p>
    <w:p w14:paraId="36ED9111">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5. 一般公共服务（类）商贸事务（款）行政运行（项）：指行政单位（包括实行公务员管理的事业单位）的基本支出。</w:t>
      </w:r>
    </w:p>
    <w:p w14:paraId="14DE20E6">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 一般公共服务（类）商贸事务（款）一般行政管理事务（项）：指行政单位（包括实行公务员管理的事业单位）未单独设置项级科目的其他项目支出。</w:t>
      </w:r>
    </w:p>
    <w:p w14:paraId="33A3F9B3">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7. 一般公共服务（类）商贸事务（款）其他商贸事务支出（项）：指除基本支出、其他项目支出以外的商贸事务支出。</w:t>
      </w:r>
    </w:p>
    <w:p w14:paraId="03994D0F">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8、一般公共服务（类）商贸事务（款）事业运行（项）：指事业单位的基本支出。不包括行政单位（包括实行公务员管理的事业单位）、后勤服务中心、医务室等附属事业单位。</w:t>
      </w:r>
    </w:p>
    <w:p w14:paraId="50F8E17E">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9. 一般公共服务（类）组织事务（款）其他组织事务支出（项）指其他用于中国共产党组织部门的事务支出。</w:t>
      </w:r>
    </w:p>
    <w:p w14:paraId="3E6B2814">
      <w:pPr>
        <w:pStyle w:val="22"/>
        <w:spacing w:line="560" w:lineRule="exact"/>
        <w:ind w:firstLine="640" w:firstLineChars="200"/>
        <w:jc w:val="both"/>
        <w:rPr>
          <w:rStyle w:val="14"/>
          <w:rFonts w:ascii="仿宋_GB2312" w:hAnsi="仿宋" w:eastAsia="仿宋_GB2312"/>
          <w:bCs/>
          <w:sz w:val="32"/>
          <w:szCs w:val="32"/>
        </w:rPr>
      </w:pPr>
      <w:r>
        <w:rPr>
          <w:rFonts w:hint="eastAsia" w:ascii="仿宋_GB2312" w:eastAsia="仿宋_GB2312"/>
          <w:color w:val="auto"/>
          <w:sz w:val="32"/>
          <w:szCs w:val="32"/>
        </w:rPr>
        <w:t>10. 般公共服务（类）市场监督管理事务（款）一般行政管理事务（项）</w:t>
      </w:r>
      <w:r>
        <w:rPr>
          <w:rFonts w:ascii="仿宋_GB2312" w:eastAsia="仿宋_GB2312"/>
          <w:color w:val="auto"/>
          <w:sz w:val="32"/>
          <w:szCs w:val="32"/>
        </w:rPr>
        <w:t>:</w:t>
      </w:r>
      <w:r>
        <w:rPr>
          <w:rFonts w:hint="eastAsia" w:ascii="仿宋_GB2312" w:eastAsia="仿宋_GB2312"/>
          <w:color w:val="auto"/>
          <w:sz w:val="32"/>
          <w:szCs w:val="32"/>
        </w:rPr>
        <w:t>指行政单位（包括实行公务员管理的事</w:t>
      </w:r>
      <w:r>
        <w:rPr>
          <w:rFonts w:hint="eastAsia" w:ascii="仿宋_GB2312" w:hAnsi="仿宋" w:eastAsia="仿宋_GB2312"/>
          <w:sz w:val="32"/>
          <w:szCs w:val="32"/>
        </w:rPr>
        <w:t>业单位）未单独设置项级科目的其他项目支出。</w:t>
      </w:r>
    </w:p>
    <w:p w14:paraId="2F885D1E">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11. 科学技术（类）科学技术管理事务（款）其他科学技术管理事务支出（项）</w:t>
      </w:r>
      <w:r>
        <w:rPr>
          <w:rFonts w:ascii="仿宋_GB2312" w:eastAsia="仿宋_GB2312"/>
          <w:color w:val="auto"/>
          <w:sz w:val="32"/>
          <w:szCs w:val="32"/>
        </w:rPr>
        <w:t>:</w:t>
      </w:r>
      <w:r>
        <w:rPr>
          <w:rFonts w:hint="eastAsia" w:ascii="仿宋_GB2312" w:eastAsia="仿宋_GB2312"/>
          <w:color w:val="auto"/>
          <w:sz w:val="32"/>
          <w:szCs w:val="32"/>
        </w:rPr>
        <w:t>指其他用于科学技术管理事务的支出。</w:t>
      </w:r>
    </w:p>
    <w:p w14:paraId="2FC8F1F0">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12. 社会保障和就业（类）行政事业单位离退休（款）未归口管理的行政事业单位离退休（项）：指行政单位(包括实行公务员管理的事业单位)开支的离退休支出。</w:t>
      </w:r>
    </w:p>
    <w:p w14:paraId="297F7ABD">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13. 社会保障和就业（类）行政事业单位离退休（款）机关事业单位基本养老保险缴费支出（项）：指机关事业单位实施养老保险制度由单位缴纳的基本养老保险费支出。</w:t>
      </w:r>
    </w:p>
    <w:p w14:paraId="43A3FD95">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14. 社会保障和就业（类）抚恤（款）死亡抚恤（项）：指按规定用于烈士和牺牲、病故人员家属的一次性和定期抚恤金以及丧葬补助费。</w:t>
      </w:r>
    </w:p>
    <w:p w14:paraId="7BD9316A">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15. 资源勘探信息等支出（类）制造业（款）其他制造业支出（项）：指其他用于制造业方面的支出。</w:t>
      </w:r>
    </w:p>
    <w:p w14:paraId="3D718477">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16. 资源勘探信息等支出（类）工业和信息产业监管（款）其他工业和信息产业监管支出（项）：指除工业和信息产业监管、无线电监管、行业监管等以外的其他用于工业和信息产业监管支出。</w:t>
      </w:r>
    </w:p>
    <w:p w14:paraId="52D6149C">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17. 住房保障支出（类）住房改革支出（款）住房公积金：指行政事业单位按人力资源和社会保障部、财政部规定的基本工资和津贴补贴以及规定比例为职工缴纳的住房公积金。</w:t>
      </w:r>
    </w:p>
    <w:p w14:paraId="5938868D">
      <w:pPr>
        <w:pStyle w:val="22"/>
        <w:spacing w:line="560" w:lineRule="exact"/>
        <w:ind w:firstLine="640" w:firstLineChars="200"/>
        <w:jc w:val="both"/>
        <w:rPr>
          <w:rFonts w:ascii="仿宋_GB2312" w:eastAsia="仿宋_GB2312"/>
          <w:sz w:val="32"/>
          <w:szCs w:val="32"/>
        </w:rPr>
      </w:pPr>
      <w:r>
        <w:rPr>
          <w:rFonts w:ascii="仿宋_GB2312" w:eastAsia="仿宋_GB2312"/>
          <w:color w:val="auto"/>
          <w:sz w:val="32"/>
          <w:szCs w:val="32"/>
        </w:rPr>
        <w:t>18.</w:t>
      </w:r>
      <w:r>
        <w:rPr>
          <w:rFonts w:hint="eastAsia" w:ascii="仿宋_GB2312" w:eastAsia="仿宋_GB2312"/>
          <w:color w:val="auto"/>
          <w:sz w:val="32"/>
          <w:szCs w:val="32"/>
        </w:rPr>
        <w:t>基本支出：指为保障机构正常运转、完成日常工作</w:t>
      </w:r>
      <w:r>
        <w:rPr>
          <w:rFonts w:hint="eastAsia" w:ascii="仿宋_GB2312" w:eastAsia="仿宋_GB2312"/>
          <w:sz w:val="32"/>
          <w:szCs w:val="32"/>
        </w:rPr>
        <w:t>任务而发生的人员支出和公用支出。</w:t>
      </w:r>
    </w:p>
    <w:p w14:paraId="7833EB44">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FFF0DD4">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w:t>
      </w:r>
      <w:bookmarkStart w:id="67" w:name="_GoBack"/>
      <w:bookmarkEnd w:id="67"/>
      <w:r>
        <w:rPr>
          <w:rFonts w:hint="eastAsia" w:ascii="仿宋_GB2312" w:eastAsia="仿宋_GB2312"/>
          <w:sz w:val="32"/>
          <w:szCs w:val="32"/>
        </w:rPr>
        <w:t>三公”经费：纳入预决算管理的“三公”经费，是指部门用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购置支出（含车辆购置税、牌照费）及反映单位按规定保留的公务用车燃料费、维修费、过桥过路费、保险费、安全奖励费用等支出；公务接待费反映单位按规定开支的各类公务接待（含外宾接待）费用。</w:t>
      </w:r>
    </w:p>
    <w:p w14:paraId="32208231">
      <w:pPr>
        <w:pStyle w:val="22"/>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6A2EA4">
      <w:pPr>
        <w:pStyle w:val="22"/>
        <w:spacing w:line="560" w:lineRule="exact"/>
        <w:ind w:firstLine="640" w:firstLineChars="200"/>
        <w:jc w:val="both"/>
        <w:rPr>
          <w:rFonts w:ascii="仿宋_GB2312" w:eastAsia="仿宋_GB2312" w:cs="黑体"/>
          <w:color w:val="auto"/>
          <w:sz w:val="32"/>
          <w:szCs w:val="32"/>
        </w:rPr>
      </w:pPr>
    </w:p>
    <w:p w14:paraId="30DD5F3A">
      <w:pPr>
        <w:spacing w:line="600" w:lineRule="exact"/>
        <w:jc w:val="center"/>
        <w:outlineLvl w:val="0"/>
        <w:rPr>
          <w:rFonts w:ascii="仿宋" w:hAnsi="仿宋" w:eastAsia="仿宋"/>
          <w:b/>
          <w:sz w:val="32"/>
          <w:szCs w:val="32"/>
        </w:rPr>
      </w:pPr>
      <w:bookmarkStart w:id="51" w:name="_Toc15396614"/>
      <w:bookmarkStart w:id="52" w:name="_Toc15377226"/>
    </w:p>
    <w:p w14:paraId="1F8E5980">
      <w:pPr>
        <w:spacing w:line="600" w:lineRule="exact"/>
        <w:jc w:val="center"/>
        <w:outlineLvl w:val="0"/>
        <w:rPr>
          <w:rFonts w:ascii="仿宋" w:hAnsi="仿宋" w:eastAsia="仿宋"/>
          <w:b/>
          <w:sz w:val="32"/>
          <w:szCs w:val="32"/>
        </w:rPr>
      </w:pPr>
    </w:p>
    <w:p w14:paraId="1BD60592">
      <w:pPr>
        <w:pStyle w:val="2"/>
        <w:spacing w:before="93"/>
      </w:pPr>
    </w:p>
    <w:p w14:paraId="42BC916B">
      <w:pPr>
        <w:spacing w:line="600" w:lineRule="exact"/>
        <w:jc w:val="center"/>
        <w:outlineLvl w:val="0"/>
        <w:rPr>
          <w:rFonts w:ascii="仿宋" w:hAnsi="仿宋" w:eastAsia="仿宋"/>
          <w:b/>
          <w:sz w:val="32"/>
          <w:szCs w:val="32"/>
        </w:rPr>
      </w:pPr>
    </w:p>
    <w:p w14:paraId="3498E923">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51"/>
    </w:p>
    <w:p w14:paraId="3A1FD8E6">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14:paraId="4BEAC56E">
      <w:pPr>
        <w:pStyle w:val="2"/>
        <w:spacing w:before="93"/>
      </w:pPr>
      <w:r>
        <w:rPr>
          <w:rFonts w:hint="eastAsia" w:ascii="宋体" w:hAnsi="宋体" w:cs="宋体"/>
          <w:b/>
          <w:sz w:val="32"/>
          <w:szCs w:val="32"/>
        </w:rPr>
        <w:t>2021年工业招商引资专项经费项目绩效目标自评</w:t>
      </w:r>
    </w:p>
    <w:tbl>
      <w:tblPr>
        <w:tblStyle w:val="12"/>
        <w:tblW w:w="9794" w:type="dxa"/>
        <w:tblInd w:w="-601" w:type="dxa"/>
        <w:tblLayout w:type="autofit"/>
        <w:tblCellMar>
          <w:top w:w="0" w:type="dxa"/>
          <w:left w:w="108" w:type="dxa"/>
          <w:bottom w:w="0" w:type="dxa"/>
          <w:right w:w="108" w:type="dxa"/>
        </w:tblCellMar>
      </w:tblPr>
      <w:tblGrid>
        <w:gridCol w:w="993"/>
        <w:gridCol w:w="1134"/>
        <w:gridCol w:w="1147"/>
        <w:gridCol w:w="554"/>
        <w:gridCol w:w="1326"/>
        <w:gridCol w:w="942"/>
        <w:gridCol w:w="1618"/>
        <w:gridCol w:w="508"/>
        <w:gridCol w:w="1572"/>
      </w:tblGrid>
      <w:tr w14:paraId="1D55249D">
        <w:tblPrEx>
          <w:tblCellMar>
            <w:top w:w="0" w:type="dxa"/>
            <w:left w:w="108" w:type="dxa"/>
            <w:bottom w:w="0" w:type="dxa"/>
            <w:right w:w="108" w:type="dxa"/>
          </w:tblCellMar>
        </w:tblPrEx>
        <w:trPr>
          <w:trHeight w:val="480" w:hRule="atLeast"/>
        </w:trPr>
        <w:tc>
          <w:tcPr>
            <w:tcW w:w="32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6DDE20">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主管部门及代码</w:t>
            </w:r>
          </w:p>
        </w:tc>
        <w:tc>
          <w:tcPr>
            <w:tcW w:w="2822" w:type="dxa"/>
            <w:gridSpan w:val="3"/>
            <w:tcBorders>
              <w:top w:val="single" w:color="auto" w:sz="4" w:space="0"/>
              <w:left w:val="nil"/>
              <w:bottom w:val="single" w:color="auto" w:sz="4" w:space="0"/>
              <w:right w:val="single" w:color="auto" w:sz="4" w:space="0"/>
            </w:tcBorders>
            <w:shd w:val="clear" w:color="auto" w:fill="auto"/>
            <w:vAlign w:val="center"/>
          </w:tcPr>
          <w:p w14:paraId="25F34A02">
            <w:pPr>
              <w:widowControl/>
              <w:rPr>
                <w:rFonts w:ascii="宋体" w:hAnsi="宋体" w:cs="宋体"/>
                <w:color w:val="000000"/>
                <w:kern w:val="0"/>
                <w:sz w:val="20"/>
                <w:szCs w:val="20"/>
              </w:rPr>
            </w:pPr>
            <w:r>
              <w:rPr>
                <w:rFonts w:hint="eastAsia" w:ascii="宋体" w:hAnsi="宋体" w:cs="宋体"/>
                <w:color w:val="000000"/>
                <w:kern w:val="0"/>
                <w:sz w:val="20"/>
                <w:szCs w:val="20"/>
              </w:rPr>
              <w:t>攀枝花市经济和信息化局</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3F3447E7">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572" w:type="dxa"/>
            <w:tcBorders>
              <w:top w:val="single" w:color="auto" w:sz="4" w:space="0"/>
              <w:left w:val="nil"/>
              <w:bottom w:val="single" w:color="auto" w:sz="4" w:space="0"/>
              <w:right w:val="single" w:color="auto" w:sz="4" w:space="0"/>
            </w:tcBorders>
            <w:shd w:val="clear" w:color="auto" w:fill="auto"/>
            <w:vAlign w:val="center"/>
          </w:tcPr>
          <w:p w14:paraId="75CA4B12">
            <w:pPr>
              <w:widowControl/>
              <w:jc w:val="center"/>
              <w:rPr>
                <w:rFonts w:ascii="宋体" w:hAnsi="宋体" w:cs="宋体"/>
                <w:color w:val="000000"/>
                <w:kern w:val="0"/>
                <w:sz w:val="20"/>
                <w:szCs w:val="20"/>
              </w:rPr>
            </w:pPr>
            <w:r>
              <w:rPr>
                <w:rFonts w:hint="eastAsia" w:ascii="宋体" w:hAnsi="宋体" w:cs="宋体"/>
                <w:color w:val="000000"/>
                <w:kern w:val="0"/>
                <w:sz w:val="20"/>
                <w:szCs w:val="20"/>
              </w:rPr>
              <w:t>攀枝花市经济和信息化局</w:t>
            </w:r>
          </w:p>
        </w:tc>
      </w:tr>
      <w:tr w14:paraId="4F0261F9">
        <w:tblPrEx>
          <w:tblCellMar>
            <w:top w:w="0" w:type="dxa"/>
            <w:left w:w="108" w:type="dxa"/>
            <w:bottom w:w="0" w:type="dxa"/>
            <w:right w:w="108" w:type="dxa"/>
          </w:tblCellMar>
        </w:tblPrEx>
        <w:trPr>
          <w:trHeight w:val="285" w:hRule="atLeast"/>
        </w:trPr>
        <w:tc>
          <w:tcPr>
            <w:tcW w:w="32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669E45">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项目预算执行情况（万元）</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52A0C74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预算数：</w:t>
            </w:r>
          </w:p>
        </w:tc>
        <w:tc>
          <w:tcPr>
            <w:tcW w:w="942" w:type="dxa"/>
            <w:tcBorders>
              <w:top w:val="nil"/>
              <w:left w:val="nil"/>
              <w:bottom w:val="single" w:color="auto" w:sz="4" w:space="0"/>
              <w:right w:val="single" w:color="auto" w:sz="4" w:space="0"/>
            </w:tcBorders>
            <w:shd w:val="clear" w:color="auto" w:fill="auto"/>
            <w:vAlign w:val="center"/>
          </w:tcPr>
          <w:p w14:paraId="6BD8220C">
            <w:pPr>
              <w:widowControl/>
              <w:jc w:val="center"/>
              <w:rPr>
                <w:rFonts w:ascii="宋体" w:hAnsi="宋体" w:cs="宋体"/>
                <w:color w:val="000000"/>
                <w:kern w:val="0"/>
                <w:sz w:val="20"/>
                <w:szCs w:val="20"/>
              </w:rPr>
            </w:pPr>
            <w:r>
              <w:rPr>
                <w:rFonts w:hint="eastAsia" w:ascii="宋体" w:hAnsi="宋体" w:cs="宋体"/>
                <w:color w:val="000000"/>
                <w:kern w:val="0"/>
                <w:sz w:val="20"/>
                <w:szCs w:val="20"/>
              </w:rPr>
              <w:t>35.37</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0AA023F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执行数：</w:t>
            </w:r>
          </w:p>
        </w:tc>
        <w:tc>
          <w:tcPr>
            <w:tcW w:w="1572" w:type="dxa"/>
            <w:tcBorders>
              <w:top w:val="nil"/>
              <w:left w:val="nil"/>
              <w:bottom w:val="single" w:color="auto" w:sz="4" w:space="0"/>
              <w:right w:val="single" w:color="auto" w:sz="4" w:space="0"/>
            </w:tcBorders>
            <w:shd w:val="clear" w:color="auto" w:fill="auto"/>
            <w:vAlign w:val="center"/>
          </w:tcPr>
          <w:p w14:paraId="3A3F5C3D">
            <w:pPr>
              <w:widowControl/>
              <w:jc w:val="center"/>
              <w:rPr>
                <w:rFonts w:ascii="宋体" w:hAnsi="宋体" w:cs="宋体"/>
                <w:color w:val="000000"/>
                <w:kern w:val="0"/>
                <w:sz w:val="20"/>
                <w:szCs w:val="20"/>
              </w:rPr>
            </w:pPr>
            <w:r>
              <w:rPr>
                <w:rFonts w:hint="eastAsia" w:ascii="宋体" w:hAnsi="宋体" w:cs="宋体"/>
                <w:color w:val="000000"/>
                <w:kern w:val="0"/>
                <w:sz w:val="20"/>
                <w:szCs w:val="20"/>
              </w:rPr>
              <w:t>35.37</w:t>
            </w:r>
          </w:p>
        </w:tc>
      </w:tr>
      <w:tr w14:paraId="3026E007">
        <w:tblPrEx>
          <w:tblCellMar>
            <w:top w:w="0" w:type="dxa"/>
            <w:left w:w="108" w:type="dxa"/>
            <w:bottom w:w="0" w:type="dxa"/>
            <w:right w:w="108" w:type="dxa"/>
          </w:tblCellMar>
        </w:tblPrEx>
        <w:trPr>
          <w:trHeight w:val="312" w:hRule="atLeast"/>
        </w:trPr>
        <w:tc>
          <w:tcPr>
            <w:tcW w:w="3274" w:type="dxa"/>
            <w:gridSpan w:val="3"/>
            <w:vMerge w:val="continue"/>
            <w:tcBorders>
              <w:top w:val="single" w:color="auto" w:sz="4" w:space="0"/>
              <w:left w:val="single" w:color="auto" w:sz="4" w:space="0"/>
              <w:bottom w:val="single" w:color="auto" w:sz="4" w:space="0"/>
              <w:right w:val="single" w:color="auto" w:sz="4" w:space="0"/>
            </w:tcBorders>
            <w:vAlign w:val="center"/>
          </w:tcPr>
          <w:p w14:paraId="641DDC29">
            <w:pPr>
              <w:widowControl/>
              <w:jc w:val="left"/>
              <w:rPr>
                <w:rFonts w:ascii="宋体" w:hAnsi="宋体" w:cs="宋体"/>
                <w:color w:val="000000"/>
                <w:kern w:val="0"/>
                <w:sz w:val="20"/>
                <w:szCs w:val="20"/>
              </w:rPr>
            </w:pPr>
          </w:p>
        </w:tc>
        <w:tc>
          <w:tcPr>
            <w:tcW w:w="18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096E0">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14:paraId="358B3152">
            <w:pPr>
              <w:widowControl/>
              <w:jc w:val="center"/>
              <w:rPr>
                <w:rFonts w:ascii="宋体" w:hAnsi="宋体" w:cs="宋体"/>
                <w:color w:val="000000"/>
                <w:kern w:val="0"/>
                <w:sz w:val="20"/>
                <w:szCs w:val="20"/>
              </w:rPr>
            </w:pPr>
            <w:r>
              <w:rPr>
                <w:rFonts w:hint="eastAsia" w:ascii="宋体" w:hAnsi="宋体" w:cs="宋体"/>
                <w:color w:val="000000"/>
                <w:kern w:val="0"/>
                <w:sz w:val="20"/>
                <w:szCs w:val="20"/>
              </w:rPr>
              <w:t>35.37</w:t>
            </w:r>
          </w:p>
        </w:tc>
        <w:tc>
          <w:tcPr>
            <w:tcW w:w="212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670E6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1572" w:type="dxa"/>
            <w:vMerge w:val="restart"/>
            <w:tcBorders>
              <w:top w:val="nil"/>
              <w:left w:val="single" w:color="auto" w:sz="4" w:space="0"/>
              <w:bottom w:val="single" w:color="auto" w:sz="4" w:space="0"/>
              <w:right w:val="single" w:color="auto" w:sz="4" w:space="0"/>
            </w:tcBorders>
            <w:shd w:val="clear" w:color="auto" w:fill="auto"/>
            <w:vAlign w:val="center"/>
          </w:tcPr>
          <w:p w14:paraId="40BBADD5">
            <w:pPr>
              <w:widowControl/>
              <w:jc w:val="center"/>
              <w:rPr>
                <w:rFonts w:ascii="宋体" w:hAnsi="宋体" w:cs="宋体"/>
                <w:color w:val="000000"/>
                <w:kern w:val="0"/>
                <w:sz w:val="20"/>
                <w:szCs w:val="20"/>
              </w:rPr>
            </w:pPr>
            <w:r>
              <w:rPr>
                <w:rFonts w:hint="eastAsia" w:ascii="宋体" w:hAnsi="宋体" w:cs="宋体"/>
                <w:color w:val="000000"/>
                <w:kern w:val="0"/>
                <w:sz w:val="20"/>
                <w:szCs w:val="20"/>
              </w:rPr>
              <w:t>35.37</w:t>
            </w:r>
          </w:p>
        </w:tc>
      </w:tr>
      <w:tr w14:paraId="70B2441B">
        <w:tblPrEx>
          <w:tblCellMar>
            <w:top w:w="0" w:type="dxa"/>
            <w:left w:w="108" w:type="dxa"/>
            <w:bottom w:w="0" w:type="dxa"/>
            <w:right w:w="108" w:type="dxa"/>
          </w:tblCellMar>
        </w:tblPrEx>
        <w:trPr>
          <w:trHeight w:val="312" w:hRule="atLeast"/>
        </w:trPr>
        <w:tc>
          <w:tcPr>
            <w:tcW w:w="3274" w:type="dxa"/>
            <w:gridSpan w:val="3"/>
            <w:vMerge w:val="continue"/>
            <w:tcBorders>
              <w:top w:val="single" w:color="auto" w:sz="4" w:space="0"/>
              <w:left w:val="single" w:color="auto" w:sz="4" w:space="0"/>
              <w:bottom w:val="single" w:color="auto" w:sz="4" w:space="0"/>
              <w:right w:val="single" w:color="auto" w:sz="4" w:space="0"/>
            </w:tcBorders>
            <w:vAlign w:val="center"/>
          </w:tcPr>
          <w:p w14:paraId="074BA58F">
            <w:pPr>
              <w:widowControl/>
              <w:jc w:val="left"/>
              <w:rPr>
                <w:rFonts w:ascii="宋体" w:hAnsi="宋体" w:cs="宋体"/>
                <w:color w:val="000000"/>
                <w:kern w:val="0"/>
                <w:sz w:val="20"/>
                <w:szCs w:val="20"/>
              </w:rPr>
            </w:pPr>
          </w:p>
        </w:tc>
        <w:tc>
          <w:tcPr>
            <w:tcW w:w="1880" w:type="dxa"/>
            <w:gridSpan w:val="2"/>
            <w:vMerge w:val="continue"/>
            <w:tcBorders>
              <w:top w:val="single" w:color="auto" w:sz="4" w:space="0"/>
              <w:left w:val="single" w:color="auto" w:sz="4" w:space="0"/>
              <w:bottom w:val="single" w:color="auto" w:sz="4" w:space="0"/>
              <w:right w:val="single" w:color="auto" w:sz="4" w:space="0"/>
            </w:tcBorders>
            <w:vAlign w:val="center"/>
          </w:tcPr>
          <w:p w14:paraId="6A3E96C6">
            <w:pPr>
              <w:widowControl/>
              <w:jc w:val="left"/>
              <w:rPr>
                <w:rFonts w:ascii="宋体" w:hAnsi="宋体" w:cs="宋体"/>
                <w:color w:val="000000"/>
                <w:kern w:val="0"/>
                <w:sz w:val="20"/>
                <w:szCs w:val="20"/>
              </w:rPr>
            </w:pPr>
          </w:p>
        </w:tc>
        <w:tc>
          <w:tcPr>
            <w:tcW w:w="942" w:type="dxa"/>
            <w:vMerge w:val="continue"/>
            <w:tcBorders>
              <w:top w:val="nil"/>
              <w:left w:val="single" w:color="auto" w:sz="4" w:space="0"/>
              <w:bottom w:val="single" w:color="auto" w:sz="4" w:space="0"/>
              <w:right w:val="single" w:color="auto" w:sz="4" w:space="0"/>
            </w:tcBorders>
            <w:vAlign w:val="center"/>
          </w:tcPr>
          <w:p w14:paraId="10FDCB6B">
            <w:pPr>
              <w:widowControl/>
              <w:jc w:val="left"/>
              <w:rPr>
                <w:rFonts w:ascii="宋体" w:hAnsi="宋体" w:cs="宋体"/>
                <w:color w:val="000000"/>
                <w:kern w:val="0"/>
                <w:sz w:val="20"/>
                <w:szCs w:val="20"/>
              </w:rPr>
            </w:pPr>
          </w:p>
        </w:tc>
        <w:tc>
          <w:tcPr>
            <w:tcW w:w="2126" w:type="dxa"/>
            <w:gridSpan w:val="2"/>
            <w:vMerge w:val="continue"/>
            <w:tcBorders>
              <w:top w:val="single" w:color="auto" w:sz="4" w:space="0"/>
              <w:left w:val="single" w:color="auto" w:sz="4" w:space="0"/>
              <w:bottom w:val="single" w:color="auto" w:sz="4" w:space="0"/>
              <w:right w:val="single" w:color="auto" w:sz="4" w:space="0"/>
            </w:tcBorders>
            <w:vAlign w:val="center"/>
          </w:tcPr>
          <w:p w14:paraId="5EF4972F">
            <w:pPr>
              <w:widowControl/>
              <w:jc w:val="left"/>
              <w:rPr>
                <w:rFonts w:ascii="宋体" w:hAnsi="宋体" w:cs="宋体"/>
                <w:color w:val="000000"/>
                <w:kern w:val="0"/>
                <w:sz w:val="20"/>
                <w:szCs w:val="20"/>
              </w:rPr>
            </w:pPr>
          </w:p>
        </w:tc>
        <w:tc>
          <w:tcPr>
            <w:tcW w:w="1572" w:type="dxa"/>
            <w:vMerge w:val="continue"/>
            <w:tcBorders>
              <w:top w:val="nil"/>
              <w:left w:val="single" w:color="auto" w:sz="4" w:space="0"/>
              <w:bottom w:val="single" w:color="auto" w:sz="4" w:space="0"/>
              <w:right w:val="single" w:color="auto" w:sz="4" w:space="0"/>
            </w:tcBorders>
            <w:vAlign w:val="center"/>
          </w:tcPr>
          <w:p w14:paraId="5E55AD0B">
            <w:pPr>
              <w:widowControl/>
              <w:jc w:val="left"/>
              <w:rPr>
                <w:rFonts w:ascii="宋体" w:hAnsi="宋体" w:cs="宋体"/>
                <w:color w:val="000000"/>
                <w:kern w:val="0"/>
                <w:sz w:val="20"/>
                <w:szCs w:val="20"/>
              </w:rPr>
            </w:pPr>
          </w:p>
        </w:tc>
      </w:tr>
      <w:tr w14:paraId="66A153E5">
        <w:tblPrEx>
          <w:tblCellMar>
            <w:top w:w="0" w:type="dxa"/>
            <w:left w:w="108" w:type="dxa"/>
            <w:bottom w:w="0" w:type="dxa"/>
            <w:right w:w="108" w:type="dxa"/>
          </w:tblCellMar>
        </w:tblPrEx>
        <w:trPr>
          <w:trHeight w:val="270" w:hRule="atLeast"/>
        </w:trPr>
        <w:tc>
          <w:tcPr>
            <w:tcW w:w="3274" w:type="dxa"/>
            <w:gridSpan w:val="3"/>
            <w:vMerge w:val="continue"/>
            <w:tcBorders>
              <w:top w:val="single" w:color="auto" w:sz="4" w:space="0"/>
              <w:left w:val="single" w:color="auto" w:sz="4" w:space="0"/>
              <w:bottom w:val="single" w:color="auto" w:sz="4" w:space="0"/>
              <w:right w:val="single" w:color="auto" w:sz="4" w:space="0"/>
            </w:tcBorders>
            <w:vAlign w:val="center"/>
          </w:tcPr>
          <w:p w14:paraId="62A4FDE7">
            <w:pPr>
              <w:widowControl/>
              <w:jc w:val="left"/>
              <w:rPr>
                <w:rFonts w:ascii="宋体" w:hAnsi="宋体" w:cs="宋体"/>
                <w:color w:val="000000"/>
                <w:kern w:val="0"/>
                <w:sz w:val="20"/>
                <w:szCs w:val="20"/>
              </w:rPr>
            </w:pP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14:paraId="799D38FB">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942" w:type="dxa"/>
            <w:tcBorders>
              <w:top w:val="nil"/>
              <w:left w:val="nil"/>
              <w:bottom w:val="single" w:color="auto" w:sz="4" w:space="0"/>
              <w:right w:val="single" w:color="auto" w:sz="4" w:space="0"/>
            </w:tcBorders>
            <w:shd w:val="clear" w:color="auto" w:fill="auto"/>
            <w:vAlign w:val="center"/>
          </w:tcPr>
          <w:p w14:paraId="50966D9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52E83910">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1572" w:type="dxa"/>
            <w:tcBorders>
              <w:top w:val="nil"/>
              <w:left w:val="nil"/>
              <w:bottom w:val="single" w:color="auto" w:sz="4" w:space="0"/>
              <w:right w:val="single" w:color="auto" w:sz="4" w:space="0"/>
            </w:tcBorders>
            <w:shd w:val="clear" w:color="auto" w:fill="auto"/>
            <w:vAlign w:val="center"/>
          </w:tcPr>
          <w:p w14:paraId="559C5E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3B0609CF">
        <w:tblPrEx>
          <w:tblCellMar>
            <w:top w:w="0" w:type="dxa"/>
            <w:left w:w="108" w:type="dxa"/>
            <w:bottom w:w="0" w:type="dxa"/>
            <w:right w:w="108" w:type="dxa"/>
          </w:tblCellMar>
        </w:tblPrEx>
        <w:trPr>
          <w:trHeight w:val="450" w:hRule="atLeas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164BF6E6">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年度总体目标完成情况</w:t>
            </w:r>
          </w:p>
        </w:tc>
        <w:tc>
          <w:tcPr>
            <w:tcW w:w="5103" w:type="dxa"/>
            <w:gridSpan w:val="5"/>
            <w:tcBorders>
              <w:top w:val="single" w:color="auto" w:sz="4" w:space="0"/>
              <w:left w:val="nil"/>
              <w:bottom w:val="single" w:color="auto" w:sz="4" w:space="0"/>
              <w:right w:val="single" w:color="auto" w:sz="4" w:space="0"/>
            </w:tcBorders>
            <w:shd w:val="clear" w:color="auto" w:fill="auto"/>
            <w:vAlign w:val="center"/>
          </w:tcPr>
          <w:p w14:paraId="17A91221">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3698" w:type="dxa"/>
            <w:gridSpan w:val="3"/>
            <w:tcBorders>
              <w:top w:val="single" w:color="auto" w:sz="4" w:space="0"/>
              <w:left w:val="nil"/>
              <w:bottom w:val="single" w:color="auto" w:sz="4" w:space="0"/>
              <w:right w:val="single" w:color="auto" w:sz="4" w:space="0"/>
            </w:tcBorders>
            <w:shd w:val="clear" w:color="auto" w:fill="auto"/>
            <w:vAlign w:val="center"/>
          </w:tcPr>
          <w:p w14:paraId="1A842A50">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目标实际完成情况</w:t>
            </w:r>
          </w:p>
        </w:tc>
      </w:tr>
      <w:tr w14:paraId="6FB55BCC">
        <w:tblPrEx>
          <w:tblCellMar>
            <w:top w:w="0" w:type="dxa"/>
            <w:left w:w="108" w:type="dxa"/>
            <w:bottom w:w="0" w:type="dxa"/>
            <w:right w:w="108" w:type="dxa"/>
          </w:tblCellMar>
        </w:tblPrEx>
        <w:trPr>
          <w:trHeight w:val="1440" w:hRule="atLeast"/>
        </w:trPr>
        <w:tc>
          <w:tcPr>
            <w:tcW w:w="993" w:type="dxa"/>
            <w:vMerge w:val="continue"/>
            <w:tcBorders>
              <w:top w:val="nil"/>
              <w:left w:val="single" w:color="auto" w:sz="4" w:space="0"/>
              <w:bottom w:val="single" w:color="auto" w:sz="4" w:space="0"/>
              <w:right w:val="single" w:color="auto" w:sz="4" w:space="0"/>
            </w:tcBorders>
            <w:vAlign w:val="center"/>
          </w:tcPr>
          <w:p w14:paraId="0B8AA99C">
            <w:pPr>
              <w:widowControl/>
              <w:jc w:val="left"/>
              <w:rPr>
                <w:rFonts w:ascii="宋体" w:hAnsi="宋体" w:cs="宋体"/>
                <w:color w:val="000000"/>
                <w:kern w:val="0"/>
                <w:sz w:val="20"/>
                <w:szCs w:val="20"/>
              </w:rPr>
            </w:pPr>
          </w:p>
        </w:tc>
        <w:tc>
          <w:tcPr>
            <w:tcW w:w="5103" w:type="dxa"/>
            <w:gridSpan w:val="5"/>
            <w:tcBorders>
              <w:top w:val="single" w:color="auto" w:sz="4" w:space="0"/>
              <w:left w:val="nil"/>
              <w:bottom w:val="single" w:color="auto" w:sz="4" w:space="0"/>
              <w:right w:val="single" w:color="auto" w:sz="4" w:space="0"/>
            </w:tcBorders>
            <w:shd w:val="clear" w:color="auto" w:fill="auto"/>
            <w:vAlign w:val="center"/>
          </w:tcPr>
          <w:p w14:paraId="6AAB323D">
            <w:pPr>
              <w:widowControl/>
              <w:jc w:val="left"/>
              <w:rPr>
                <w:rFonts w:ascii="宋体" w:hAnsi="宋体" w:cs="宋体"/>
                <w:color w:val="000000"/>
                <w:kern w:val="0"/>
                <w:sz w:val="20"/>
                <w:szCs w:val="20"/>
              </w:rPr>
            </w:pPr>
            <w:r>
              <w:rPr>
                <w:rFonts w:hint="eastAsia" w:ascii="宋体" w:hAnsi="宋体" w:cs="宋体"/>
                <w:color w:val="000000"/>
                <w:kern w:val="0"/>
                <w:sz w:val="20"/>
                <w:szCs w:val="20"/>
              </w:rPr>
              <w:t>统筹做好工业招商引资工作，完成招商引资的重大活动及会议，指导、组织县（区）赴外地开展招商引资活动，组织市级相关单位以及企业参加省内外举办的展会、博览会等重大活动，做好来攀实地考察企业等对接接待工作。</w:t>
            </w:r>
          </w:p>
        </w:tc>
        <w:tc>
          <w:tcPr>
            <w:tcW w:w="3698" w:type="dxa"/>
            <w:gridSpan w:val="3"/>
            <w:tcBorders>
              <w:top w:val="single" w:color="auto" w:sz="4" w:space="0"/>
              <w:left w:val="nil"/>
              <w:bottom w:val="single" w:color="auto" w:sz="4" w:space="0"/>
              <w:right w:val="single" w:color="auto" w:sz="4" w:space="0"/>
            </w:tcBorders>
            <w:shd w:val="clear" w:color="auto" w:fill="auto"/>
            <w:vAlign w:val="center"/>
          </w:tcPr>
          <w:p w14:paraId="6607C201">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完成年度设定目标，完成市领导交办的关于招商引资的重大活动及会议，指导、组织县（区）赴外地开展招商引资活动，组织市级相关单位以及企业参加省内外举办的展会、博览会等重大活动。</w:t>
            </w:r>
          </w:p>
        </w:tc>
      </w:tr>
      <w:tr w14:paraId="1930DC97">
        <w:tblPrEx>
          <w:tblCellMar>
            <w:top w:w="0" w:type="dxa"/>
            <w:left w:w="108" w:type="dxa"/>
            <w:bottom w:w="0" w:type="dxa"/>
            <w:right w:w="108" w:type="dxa"/>
          </w:tblCellMar>
        </w:tblPrEx>
        <w:trPr>
          <w:trHeight w:val="240" w:hRule="atLeas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05B7CAF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年度绩效指标完成情况</w:t>
            </w:r>
          </w:p>
        </w:tc>
        <w:tc>
          <w:tcPr>
            <w:tcW w:w="1134" w:type="dxa"/>
            <w:tcBorders>
              <w:top w:val="nil"/>
              <w:left w:val="nil"/>
              <w:bottom w:val="single" w:color="auto" w:sz="4" w:space="0"/>
              <w:right w:val="single" w:color="auto" w:sz="4" w:space="0"/>
            </w:tcBorders>
            <w:shd w:val="clear" w:color="auto" w:fill="auto"/>
            <w:vAlign w:val="center"/>
          </w:tcPr>
          <w:p w14:paraId="3C6F52AB">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192737AE">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36704EC0">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618" w:type="dxa"/>
            <w:tcBorders>
              <w:top w:val="nil"/>
              <w:left w:val="nil"/>
              <w:bottom w:val="single" w:color="auto" w:sz="4" w:space="0"/>
              <w:right w:val="single" w:color="auto" w:sz="4" w:space="0"/>
            </w:tcBorders>
            <w:shd w:val="clear" w:color="auto" w:fill="auto"/>
            <w:vAlign w:val="center"/>
          </w:tcPr>
          <w:p w14:paraId="7EF42E38">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预期指标值</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6A2E3109">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实际完成指标值</w:t>
            </w:r>
          </w:p>
        </w:tc>
      </w:tr>
      <w:tr w14:paraId="28F4B835">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4E27E06B">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02F2A017">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完成指标</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306159">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14:paraId="43B2FC72">
            <w:pPr>
              <w:widowControl/>
              <w:jc w:val="center"/>
              <w:rPr>
                <w:rFonts w:ascii="宋体" w:hAnsi="宋体" w:cs="宋体"/>
                <w:kern w:val="0"/>
                <w:sz w:val="20"/>
                <w:szCs w:val="20"/>
              </w:rPr>
            </w:pPr>
            <w:r>
              <w:rPr>
                <w:rFonts w:hint="eastAsia" w:ascii="宋体" w:hAnsi="宋体" w:cs="宋体"/>
                <w:kern w:val="0"/>
                <w:sz w:val="20"/>
                <w:szCs w:val="20"/>
              </w:rPr>
              <w:t xml:space="preserve"> 举办重大招商活动及会议</w:t>
            </w:r>
          </w:p>
        </w:tc>
        <w:tc>
          <w:tcPr>
            <w:tcW w:w="1618" w:type="dxa"/>
            <w:tcBorders>
              <w:top w:val="nil"/>
              <w:left w:val="nil"/>
              <w:bottom w:val="single" w:color="auto" w:sz="4" w:space="0"/>
              <w:right w:val="single" w:color="auto" w:sz="4" w:space="0"/>
            </w:tcBorders>
            <w:shd w:val="clear" w:color="auto" w:fill="auto"/>
            <w:vAlign w:val="center"/>
          </w:tcPr>
          <w:p w14:paraId="42AF8C31">
            <w:pPr>
              <w:widowControl/>
              <w:jc w:val="center"/>
              <w:rPr>
                <w:rFonts w:ascii="宋体" w:hAnsi="宋体" w:cs="宋体"/>
                <w:kern w:val="0"/>
                <w:sz w:val="20"/>
                <w:szCs w:val="20"/>
              </w:rPr>
            </w:pPr>
            <w:r>
              <w:rPr>
                <w:rFonts w:hint="eastAsia" w:ascii="宋体" w:hAnsi="宋体" w:cs="宋体"/>
                <w:kern w:val="0"/>
                <w:sz w:val="20"/>
                <w:szCs w:val="20"/>
              </w:rPr>
              <w:t>20次</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5882C647">
            <w:pPr>
              <w:widowControl/>
              <w:jc w:val="center"/>
              <w:rPr>
                <w:rFonts w:ascii="宋体" w:hAnsi="宋体" w:cs="宋体"/>
                <w:kern w:val="0"/>
                <w:sz w:val="20"/>
                <w:szCs w:val="20"/>
              </w:rPr>
            </w:pPr>
            <w:r>
              <w:rPr>
                <w:rFonts w:hint="eastAsia" w:ascii="宋体" w:hAnsi="宋体" w:cs="宋体"/>
                <w:kern w:val="0"/>
                <w:sz w:val="20"/>
                <w:szCs w:val="20"/>
              </w:rPr>
              <w:t>20次</w:t>
            </w:r>
          </w:p>
        </w:tc>
      </w:tr>
      <w:tr w14:paraId="63591266">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06E28061">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4D280F42">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78AA8A32">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14:paraId="548527DC">
            <w:pPr>
              <w:widowControl/>
              <w:jc w:val="center"/>
              <w:rPr>
                <w:rFonts w:ascii="宋体" w:hAnsi="宋体" w:cs="宋体"/>
                <w:kern w:val="0"/>
                <w:sz w:val="20"/>
                <w:szCs w:val="20"/>
              </w:rPr>
            </w:pPr>
            <w:r>
              <w:rPr>
                <w:rFonts w:hint="eastAsia" w:ascii="宋体" w:hAnsi="宋体" w:cs="宋体"/>
                <w:kern w:val="0"/>
                <w:sz w:val="20"/>
                <w:szCs w:val="20"/>
              </w:rPr>
              <w:t xml:space="preserve"> 赴外招商活动</w:t>
            </w:r>
          </w:p>
        </w:tc>
        <w:tc>
          <w:tcPr>
            <w:tcW w:w="1618" w:type="dxa"/>
            <w:tcBorders>
              <w:top w:val="nil"/>
              <w:left w:val="nil"/>
              <w:bottom w:val="single" w:color="auto" w:sz="4" w:space="0"/>
              <w:right w:val="single" w:color="auto" w:sz="4" w:space="0"/>
            </w:tcBorders>
            <w:shd w:val="clear" w:color="auto" w:fill="auto"/>
            <w:vAlign w:val="center"/>
          </w:tcPr>
          <w:p w14:paraId="7FA0788B">
            <w:pPr>
              <w:widowControl/>
              <w:jc w:val="center"/>
              <w:rPr>
                <w:rFonts w:ascii="宋体" w:hAnsi="宋体" w:cs="宋体"/>
                <w:color w:val="000000"/>
                <w:kern w:val="0"/>
                <w:sz w:val="20"/>
                <w:szCs w:val="20"/>
              </w:rPr>
            </w:pPr>
            <w:r>
              <w:rPr>
                <w:rFonts w:hint="eastAsia" w:ascii="宋体" w:hAnsi="宋体" w:cs="宋体"/>
                <w:color w:val="000000"/>
                <w:kern w:val="0"/>
                <w:sz w:val="20"/>
                <w:szCs w:val="20"/>
              </w:rPr>
              <w:t>24批次</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307007A0">
            <w:pPr>
              <w:widowControl/>
              <w:jc w:val="center"/>
              <w:rPr>
                <w:rFonts w:ascii="宋体" w:hAnsi="宋体" w:cs="宋体"/>
                <w:color w:val="000000"/>
                <w:kern w:val="0"/>
                <w:sz w:val="20"/>
                <w:szCs w:val="20"/>
              </w:rPr>
            </w:pPr>
            <w:r>
              <w:rPr>
                <w:rFonts w:hint="eastAsia" w:ascii="宋体" w:hAnsi="宋体" w:cs="宋体"/>
                <w:color w:val="000000"/>
                <w:kern w:val="0"/>
                <w:sz w:val="20"/>
                <w:szCs w:val="20"/>
              </w:rPr>
              <w:t>24批次</w:t>
            </w:r>
          </w:p>
        </w:tc>
      </w:tr>
      <w:tr w14:paraId="79B1ED17">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54C32D01">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174E210B">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6EC8DC03">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14:paraId="29093AAB">
            <w:pPr>
              <w:widowControl/>
              <w:jc w:val="center"/>
              <w:rPr>
                <w:rFonts w:ascii="宋体" w:hAnsi="宋体" w:cs="宋体"/>
                <w:kern w:val="0"/>
                <w:sz w:val="20"/>
                <w:szCs w:val="20"/>
              </w:rPr>
            </w:pPr>
            <w:r>
              <w:rPr>
                <w:rFonts w:hint="eastAsia" w:ascii="宋体" w:hAnsi="宋体" w:cs="宋体"/>
                <w:kern w:val="0"/>
                <w:sz w:val="20"/>
                <w:szCs w:val="20"/>
              </w:rPr>
              <w:t xml:space="preserve"> 对接企业</w:t>
            </w:r>
          </w:p>
        </w:tc>
        <w:tc>
          <w:tcPr>
            <w:tcW w:w="1618" w:type="dxa"/>
            <w:tcBorders>
              <w:top w:val="nil"/>
              <w:left w:val="nil"/>
              <w:bottom w:val="single" w:color="auto" w:sz="4" w:space="0"/>
              <w:right w:val="single" w:color="auto" w:sz="4" w:space="0"/>
            </w:tcBorders>
            <w:shd w:val="clear" w:color="auto" w:fill="auto"/>
            <w:vAlign w:val="center"/>
          </w:tcPr>
          <w:p w14:paraId="7FDE8BF9">
            <w:pPr>
              <w:widowControl/>
              <w:jc w:val="center"/>
              <w:rPr>
                <w:rFonts w:ascii="宋体" w:hAnsi="宋体" w:cs="宋体"/>
                <w:color w:val="000000"/>
                <w:kern w:val="0"/>
                <w:sz w:val="20"/>
                <w:szCs w:val="20"/>
              </w:rPr>
            </w:pPr>
            <w:r>
              <w:rPr>
                <w:rFonts w:hint="eastAsia" w:ascii="宋体" w:hAnsi="宋体" w:cs="宋体"/>
                <w:color w:val="000000"/>
                <w:kern w:val="0"/>
                <w:sz w:val="20"/>
                <w:szCs w:val="20"/>
              </w:rPr>
              <w:t>200人次</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60F806C0">
            <w:pPr>
              <w:widowControl/>
              <w:jc w:val="center"/>
              <w:rPr>
                <w:rFonts w:ascii="宋体" w:hAnsi="宋体" w:cs="宋体"/>
                <w:color w:val="000000"/>
                <w:kern w:val="0"/>
                <w:sz w:val="20"/>
                <w:szCs w:val="20"/>
              </w:rPr>
            </w:pPr>
            <w:r>
              <w:rPr>
                <w:rFonts w:hint="eastAsia" w:ascii="宋体" w:hAnsi="宋体" w:cs="宋体"/>
                <w:color w:val="000000"/>
                <w:kern w:val="0"/>
                <w:sz w:val="20"/>
                <w:szCs w:val="20"/>
              </w:rPr>
              <w:t>200余人次</w:t>
            </w:r>
          </w:p>
        </w:tc>
      </w:tr>
      <w:tr w14:paraId="2DFC9654">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334AE1EE">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08F3102A">
            <w:pPr>
              <w:widowControl/>
              <w:jc w:val="left"/>
              <w:rPr>
                <w:rFonts w:ascii="宋体" w:hAnsi="宋体" w:cs="宋体"/>
                <w:color w:val="000000"/>
                <w:kern w:val="0"/>
                <w:sz w:val="20"/>
                <w:szCs w:val="20"/>
              </w:rPr>
            </w:pP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77CFEB03">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07751332">
            <w:pPr>
              <w:widowControl/>
              <w:rPr>
                <w:rFonts w:ascii="宋体" w:hAnsi="宋体" w:cs="宋体"/>
                <w:color w:val="000000"/>
                <w:kern w:val="0"/>
                <w:sz w:val="20"/>
                <w:szCs w:val="20"/>
              </w:rPr>
            </w:pPr>
            <w:r>
              <w:rPr>
                <w:rFonts w:hint="eastAsia" w:ascii="宋体" w:hAnsi="宋体" w:cs="宋体"/>
                <w:color w:val="000000"/>
                <w:kern w:val="0"/>
                <w:sz w:val="20"/>
                <w:szCs w:val="20"/>
              </w:rPr>
              <w:t>监测检测任务</w:t>
            </w:r>
          </w:p>
        </w:tc>
        <w:tc>
          <w:tcPr>
            <w:tcW w:w="1618" w:type="dxa"/>
            <w:tcBorders>
              <w:top w:val="nil"/>
              <w:left w:val="nil"/>
              <w:bottom w:val="single" w:color="auto" w:sz="4" w:space="0"/>
              <w:right w:val="single" w:color="auto" w:sz="4" w:space="0"/>
            </w:tcBorders>
            <w:shd w:val="clear" w:color="auto" w:fill="auto"/>
            <w:vAlign w:val="center"/>
          </w:tcPr>
          <w:p w14:paraId="2D888773">
            <w:pPr>
              <w:widowControl/>
              <w:rPr>
                <w:rFonts w:ascii="宋体" w:hAnsi="宋体" w:cs="宋体"/>
                <w:color w:val="000000"/>
                <w:kern w:val="0"/>
                <w:sz w:val="20"/>
                <w:szCs w:val="20"/>
              </w:rPr>
            </w:pPr>
            <w:r>
              <w:rPr>
                <w:rFonts w:hint="eastAsia" w:ascii="宋体" w:hAnsi="宋体" w:cs="宋体"/>
                <w:color w:val="000000"/>
                <w:kern w:val="0"/>
                <w:sz w:val="20"/>
                <w:szCs w:val="20"/>
              </w:rPr>
              <w:t>1万余小时</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77B0EC3D">
            <w:pPr>
              <w:widowControl/>
              <w:jc w:val="center"/>
              <w:rPr>
                <w:rFonts w:ascii="宋体" w:hAnsi="宋体" w:cs="宋体"/>
                <w:color w:val="000000"/>
                <w:kern w:val="0"/>
                <w:sz w:val="20"/>
                <w:szCs w:val="20"/>
              </w:rPr>
            </w:pPr>
            <w:r>
              <w:rPr>
                <w:rFonts w:hint="eastAsia" w:ascii="宋体" w:hAnsi="宋体" w:cs="宋体"/>
                <w:color w:val="000000"/>
                <w:kern w:val="0"/>
                <w:sz w:val="20"/>
                <w:szCs w:val="20"/>
              </w:rPr>
              <w:t>1万余小时以上</w:t>
            </w:r>
          </w:p>
        </w:tc>
      </w:tr>
      <w:tr w14:paraId="3FCFAD66">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63EC47B0">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4E319B38">
            <w:pPr>
              <w:widowControl/>
              <w:jc w:val="left"/>
              <w:rPr>
                <w:rFonts w:ascii="宋体" w:hAnsi="宋体" w:cs="宋体"/>
                <w:color w:val="000000"/>
                <w:kern w:val="0"/>
                <w:sz w:val="20"/>
                <w:szCs w:val="20"/>
              </w:rPr>
            </w:pP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7E009249">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2634965C">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w:t>
            </w:r>
          </w:p>
        </w:tc>
        <w:tc>
          <w:tcPr>
            <w:tcW w:w="1618" w:type="dxa"/>
            <w:tcBorders>
              <w:top w:val="nil"/>
              <w:left w:val="nil"/>
              <w:bottom w:val="single" w:color="auto" w:sz="4" w:space="0"/>
              <w:right w:val="single" w:color="auto" w:sz="4" w:space="0"/>
            </w:tcBorders>
            <w:shd w:val="clear" w:color="auto" w:fill="auto"/>
            <w:vAlign w:val="center"/>
          </w:tcPr>
          <w:p w14:paraId="690F4778">
            <w:pPr>
              <w:widowControl/>
              <w:jc w:val="center"/>
              <w:rPr>
                <w:rFonts w:ascii="宋体" w:hAnsi="宋体" w:cs="宋体"/>
                <w:color w:val="000000"/>
                <w:kern w:val="0"/>
                <w:sz w:val="20"/>
                <w:szCs w:val="20"/>
              </w:rPr>
            </w:pPr>
            <w:r>
              <w:rPr>
                <w:rFonts w:hint="eastAsia" w:ascii="宋体" w:hAnsi="宋体" w:cs="宋体"/>
                <w:color w:val="000000"/>
                <w:kern w:val="0"/>
                <w:sz w:val="20"/>
                <w:szCs w:val="20"/>
              </w:rPr>
              <w:t>12个月</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7C0A1F3C">
            <w:pPr>
              <w:widowControl/>
              <w:jc w:val="center"/>
              <w:rPr>
                <w:rFonts w:ascii="宋体" w:hAnsi="宋体" w:cs="宋体"/>
                <w:color w:val="000000"/>
                <w:kern w:val="0"/>
                <w:sz w:val="20"/>
                <w:szCs w:val="20"/>
              </w:rPr>
            </w:pPr>
            <w:r>
              <w:rPr>
                <w:rFonts w:hint="eastAsia" w:ascii="宋体" w:hAnsi="宋体" w:cs="宋体"/>
                <w:color w:val="000000"/>
                <w:kern w:val="0"/>
                <w:sz w:val="20"/>
                <w:szCs w:val="20"/>
              </w:rPr>
              <w:t>12个月</w:t>
            </w:r>
          </w:p>
        </w:tc>
      </w:tr>
      <w:tr w14:paraId="2BD1DB33">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5E7F434E">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3E40CA95">
            <w:pPr>
              <w:widowControl/>
              <w:jc w:val="left"/>
              <w:rPr>
                <w:rFonts w:ascii="宋体" w:hAnsi="宋体" w:cs="宋体"/>
                <w:color w:val="000000"/>
                <w:kern w:val="0"/>
                <w:sz w:val="20"/>
                <w:szCs w:val="20"/>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8A1ED9">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3B7FBA5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1名工作人员经费</w:t>
            </w:r>
          </w:p>
        </w:tc>
        <w:tc>
          <w:tcPr>
            <w:tcW w:w="1618" w:type="dxa"/>
            <w:tcBorders>
              <w:top w:val="nil"/>
              <w:left w:val="nil"/>
              <w:bottom w:val="single" w:color="auto" w:sz="4" w:space="0"/>
              <w:right w:val="single" w:color="auto" w:sz="4" w:space="0"/>
            </w:tcBorders>
            <w:shd w:val="clear" w:color="auto" w:fill="auto"/>
            <w:vAlign w:val="center"/>
          </w:tcPr>
          <w:p w14:paraId="707B6302">
            <w:pPr>
              <w:widowControl/>
              <w:jc w:val="center"/>
              <w:rPr>
                <w:rFonts w:ascii="宋体" w:hAnsi="宋体" w:cs="宋体"/>
                <w:color w:val="000000"/>
                <w:kern w:val="0"/>
                <w:sz w:val="20"/>
                <w:szCs w:val="20"/>
              </w:rPr>
            </w:pPr>
            <w:r>
              <w:rPr>
                <w:rFonts w:hint="eastAsia" w:ascii="宋体" w:hAnsi="宋体" w:cs="宋体"/>
                <w:color w:val="000000"/>
                <w:kern w:val="0"/>
                <w:sz w:val="20"/>
                <w:szCs w:val="20"/>
              </w:rPr>
              <w:t>12万元</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660D1BDF">
            <w:pPr>
              <w:widowControl/>
              <w:jc w:val="center"/>
              <w:rPr>
                <w:rFonts w:ascii="宋体" w:hAnsi="宋体" w:cs="宋体"/>
                <w:color w:val="000000"/>
                <w:kern w:val="0"/>
                <w:sz w:val="20"/>
                <w:szCs w:val="20"/>
              </w:rPr>
            </w:pPr>
            <w:r>
              <w:rPr>
                <w:rFonts w:hint="eastAsia" w:ascii="宋体" w:hAnsi="宋体" w:cs="宋体"/>
                <w:color w:val="000000"/>
                <w:kern w:val="0"/>
                <w:sz w:val="20"/>
                <w:szCs w:val="20"/>
              </w:rPr>
              <w:t>11.54万元</w:t>
            </w:r>
          </w:p>
        </w:tc>
      </w:tr>
      <w:tr w14:paraId="1855BA00">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371F9376">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7F643055">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7D282CDF">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14:paraId="5E5D032F">
            <w:pPr>
              <w:widowControl/>
              <w:jc w:val="center"/>
              <w:rPr>
                <w:rFonts w:ascii="宋体" w:hAnsi="宋体" w:cs="宋体"/>
                <w:color w:val="000000"/>
                <w:kern w:val="0"/>
                <w:sz w:val="20"/>
                <w:szCs w:val="20"/>
              </w:rPr>
            </w:pPr>
            <w:r>
              <w:rPr>
                <w:rFonts w:hint="eastAsia" w:ascii="宋体" w:hAnsi="宋体" w:cs="宋体"/>
                <w:color w:val="000000"/>
                <w:kern w:val="0"/>
                <w:sz w:val="20"/>
                <w:szCs w:val="20"/>
              </w:rPr>
              <w:t>差旅、接待、租车等费用</w:t>
            </w:r>
          </w:p>
        </w:tc>
        <w:tc>
          <w:tcPr>
            <w:tcW w:w="1618" w:type="dxa"/>
            <w:tcBorders>
              <w:top w:val="nil"/>
              <w:left w:val="nil"/>
              <w:bottom w:val="single" w:color="auto" w:sz="4" w:space="0"/>
              <w:right w:val="single" w:color="auto" w:sz="4" w:space="0"/>
            </w:tcBorders>
            <w:shd w:val="clear" w:color="auto" w:fill="auto"/>
            <w:vAlign w:val="center"/>
          </w:tcPr>
          <w:p w14:paraId="7C1475C3">
            <w:pPr>
              <w:widowControl/>
              <w:jc w:val="center"/>
              <w:rPr>
                <w:rFonts w:ascii="宋体" w:hAnsi="宋体" w:cs="宋体"/>
                <w:color w:val="000000"/>
                <w:kern w:val="0"/>
                <w:sz w:val="20"/>
                <w:szCs w:val="20"/>
              </w:rPr>
            </w:pPr>
            <w:r>
              <w:rPr>
                <w:rFonts w:hint="eastAsia" w:ascii="宋体" w:hAnsi="宋体" w:cs="宋体"/>
                <w:color w:val="000000"/>
                <w:kern w:val="0"/>
                <w:sz w:val="20"/>
                <w:szCs w:val="20"/>
              </w:rPr>
              <w:t>9万元</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63EE5F30">
            <w:pPr>
              <w:widowControl/>
              <w:jc w:val="center"/>
              <w:rPr>
                <w:rFonts w:ascii="宋体" w:hAnsi="宋体" w:cs="宋体"/>
                <w:color w:val="000000"/>
                <w:kern w:val="0"/>
                <w:sz w:val="20"/>
                <w:szCs w:val="20"/>
              </w:rPr>
            </w:pPr>
            <w:r>
              <w:rPr>
                <w:rFonts w:hint="eastAsia" w:ascii="宋体" w:hAnsi="宋体" w:cs="宋体"/>
                <w:color w:val="000000"/>
                <w:kern w:val="0"/>
                <w:sz w:val="20"/>
                <w:szCs w:val="20"/>
              </w:rPr>
              <w:t>8.57万元</w:t>
            </w:r>
          </w:p>
        </w:tc>
      </w:tr>
      <w:tr w14:paraId="63AE75AA">
        <w:tblPrEx>
          <w:tblCellMar>
            <w:top w:w="0" w:type="dxa"/>
            <w:left w:w="108" w:type="dxa"/>
            <w:bottom w:w="0" w:type="dxa"/>
            <w:right w:w="108" w:type="dxa"/>
          </w:tblCellMar>
        </w:tblPrEx>
        <w:trPr>
          <w:trHeight w:val="240" w:hRule="atLeast"/>
        </w:trPr>
        <w:tc>
          <w:tcPr>
            <w:tcW w:w="993" w:type="dxa"/>
            <w:vMerge w:val="continue"/>
            <w:tcBorders>
              <w:top w:val="nil"/>
              <w:left w:val="single" w:color="auto" w:sz="4" w:space="0"/>
              <w:bottom w:val="single" w:color="auto" w:sz="4" w:space="0"/>
              <w:right w:val="single" w:color="auto" w:sz="4" w:space="0"/>
            </w:tcBorders>
            <w:vAlign w:val="center"/>
          </w:tcPr>
          <w:p w14:paraId="0CCC0298">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14:paraId="2448FFBD">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156F1E9E">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46292752">
            <w:pPr>
              <w:widowControl/>
              <w:jc w:val="center"/>
              <w:rPr>
                <w:rFonts w:ascii="宋体" w:hAnsi="宋体" w:cs="宋体"/>
                <w:color w:val="000000"/>
                <w:kern w:val="0"/>
                <w:sz w:val="20"/>
                <w:szCs w:val="20"/>
              </w:rPr>
            </w:pPr>
            <w:r>
              <w:rPr>
                <w:rFonts w:hint="eastAsia" w:ascii="宋体" w:hAnsi="宋体" w:cs="宋体"/>
                <w:color w:val="000000"/>
                <w:kern w:val="0"/>
                <w:sz w:val="20"/>
                <w:szCs w:val="20"/>
              </w:rPr>
              <w:t>会场、项目包装、资料印制、委托服务等费用</w:t>
            </w:r>
          </w:p>
        </w:tc>
        <w:tc>
          <w:tcPr>
            <w:tcW w:w="1618" w:type="dxa"/>
            <w:tcBorders>
              <w:top w:val="nil"/>
              <w:left w:val="nil"/>
              <w:bottom w:val="single" w:color="auto" w:sz="4" w:space="0"/>
              <w:right w:val="single" w:color="auto" w:sz="4" w:space="0"/>
            </w:tcBorders>
            <w:shd w:val="clear" w:color="auto" w:fill="auto"/>
            <w:vAlign w:val="center"/>
          </w:tcPr>
          <w:p w14:paraId="660D17D1">
            <w:pPr>
              <w:widowControl/>
              <w:jc w:val="center"/>
              <w:rPr>
                <w:rFonts w:ascii="宋体" w:hAnsi="宋体" w:cs="宋体"/>
                <w:color w:val="000000"/>
                <w:kern w:val="0"/>
                <w:sz w:val="20"/>
                <w:szCs w:val="20"/>
              </w:rPr>
            </w:pPr>
            <w:r>
              <w:rPr>
                <w:rFonts w:hint="eastAsia" w:ascii="宋体" w:hAnsi="宋体" w:cs="宋体"/>
                <w:color w:val="000000"/>
                <w:kern w:val="0"/>
                <w:sz w:val="20"/>
                <w:szCs w:val="20"/>
              </w:rPr>
              <w:t>16万元</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5AD550B7">
            <w:pPr>
              <w:widowControl/>
              <w:jc w:val="center"/>
              <w:rPr>
                <w:rFonts w:ascii="宋体" w:hAnsi="宋体" w:cs="宋体"/>
                <w:color w:val="000000"/>
                <w:kern w:val="0"/>
                <w:sz w:val="20"/>
                <w:szCs w:val="20"/>
              </w:rPr>
            </w:pPr>
            <w:r>
              <w:rPr>
                <w:rFonts w:hint="eastAsia" w:ascii="宋体" w:hAnsi="宋体" w:cs="宋体"/>
                <w:color w:val="000000"/>
                <w:kern w:val="0"/>
                <w:sz w:val="20"/>
                <w:szCs w:val="20"/>
              </w:rPr>
              <w:t>15.26万元</w:t>
            </w:r>
          </w:p>
        </w:tc>
      </w:tr>
      <w:tr w14:paraId="7D736D59">
        <w:tblPrEx>
          <w:tblCellMar>
            <w:top w:w="0" w:type="dxa"/>
            <w:left w:w="108" w:type="dxa"/>
            <w:bottom w:w="0" w:type="dxa"/>
            <w:right w:w="108" w:type="dxa"/>
          </w:tblCellMar>
        </w:tblPrEx>
        <w:trPr>
          <w:trHeight w:val="270" w:hRule="atLeast"/>
        </w:trPr>
        <w:tc>
          <w:tcPr>
            <w:tcW w:w="993" w:type="dxa"/>
            <w:vMerge w:val="continue"/>
            <w:tcBorders>
              <w:top w:val="nil"/>
              <w:left w:val="single" w:color="auto" w:sz="4" w:space="0"/>
              <w:bottom w:val="single" w:color="auto" w:sz="4" w:space="0"/>
              <w:right w:val="single" w:color="auto" w:sz="4" w:space="0"/>
            </w:tcBorders>
            <w:vAlign w:val="center"/>
          </w:tcPr>
          <w:p w14:paraId="6EEF3CAE">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14:paraId="1599726A">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70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4090894">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0495A53A">
            <w:pPr>
              <w:widowControl/>
              <w:jc w:val="center"/>
              <w:rPr>
                <w:rFonts w:ascii="宋体" w:hAnsi="宋体" w:cs="宋体"/>
                <w:kern w:val="0"/>
                <w:sz w:val="20"/>
                <w:szCs w:val="20"/>
              </w:rPr>
            </w:pPr>
            <w:r>
              <w:rPr>
                <w:rFonts w:hint="eastAsia" w:ascii="宋体" w:hAnsi="宋体" w:cs="宋体"/>
                <w:kern w:val="0"/>
                <w:sz w:val="20"/>
                <w:szCs w:val="20"/>
              </w:rPr>
              <w:t>签约工业项目</w:t>
            </w:r>
          </w:p>
        </w:tc>
        <w:tc>
          <w:tcPr>
            <w:tcW w:w="1618" w:type="dxa"/>
            <w:tcBorders>
              <w:top w:val="nil"/>
              <w:left w:val="nil"/>
              <w:bottom w:val="single" w:color="auto" w:sz="4" w:space="0"/>
              <w:right w:val="single" w:color="auto" w:sz="4" w:space="0"/>
            </w:tcBorders>
            <w:shd w:val="clear" w:color="auto" w:fill="auto"/>
            <w:vAlign w:val="center"/>
          </w:tcPr>
          <w:p w14:paraId="3A89FA2F">
            <w:pPr>
              <w:widowControl/>
              <w:jc w:val="center"/>
              <w:rPr>
                <w:rFonts w:ascii="宋体" w:hAnsi="宋体" w:cs="宋体"/>
                <w:kern w:val="0"/>
                <w:sz w:val="20"/>
                <w:szCs w:val="20"/>
              </w:rPr>
            </w:pPr>
            <w:r>
              <w:rPr>
                <w:rFonts w:hint="eastAsia" w:ascii="宋体" w:hAnsi="宋体" w:cs="宋体"/>
                <w:kern w:val="0"/>
                <w:sz w:val="20"/>
                <w:szCs w:val="20"/>
              </w:rPr>
              <w:t>300个</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4189B95F">
            <w:pPr>
              <w:widowControl/>
              <w:jc w:val="center"/>
              <w:rPr>
                <w:rFonts w:ascii="宋体" w:hAnsi="宋体" w:cs="宋体"/>
                <w:kern w:val="0"/>
                <w:sz w:val="20"/>
                <w:szCs w:val="20"/>
              </w:rPr>
            </w:pPr>
            <w:r>
              <w:rPr>
                <w:rFonts w:hint="eastAsia" w:ascii="宋体" w:hAnsi="宋体" w:cs="宋体"/>
                <w:kern w:val="0"/>
                <w:sz w:val="20"/>
                <w:szCs w:val="20"/>
              </w:rPr>
              <w:t>312个</w:t>
            </w:r>
          </w:p>
        </w:tc>
      </w:tr>
      <w:tr w14:paraId="2AFA9307">
        <w:tblPrEx>
          <w:tblCellMar>
            <w:top w:w="0" w:type="dxa"/>
            <w:left w:w="108" w:type="dxa"/>
            <w:bottom w:w="0" w:type="dxa"/>
            <w:right w:w="108" w:type="dxa"/>
          </w:tblCellMar>
        </w:tblPrEx>
        <w:trPr>
          <w:trHeight w:val="480" w:hRule="atLeast"/>
        </w:trPr>
        <w:tc>
          <w:tcPr>
            <w:tcW w:w="993" w:type="dxa"/>
            <w:vMerge w:val="continue"/>
            <w:tcBorders>
              <w:top w:val="nil"/>
              <w:left w:val="single" w:color="auto" w:sz="4" w:space="0"/>
              <w:bottom w:val="single" w:color="auto" w:sz="4" w:space="0"/>
              <w:right w:val="single" w:color="auto" w:sz="4" w:space="0"/>
            </w:tcBorders>
            <w:vAlign w:val="center"/>
          </w:tcPr>
          <w:p w14:paraId="790CD6D6">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14:paraId="2DB35F45">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000000" w:sz="4" w:space="0"/>
              <w:right w:val="single" w:color="000000" w:sz="4" w:space="0"/>
            </w:tcBorders>
            <w:vAlign w:val="center"/>
          </w:tcPr>
          <w:p w14:paraId="55E05165">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000000" w:fill="FFFFFF"/>
            <w:vAlign w:val="center"/>
          </w:tcPr>
          <w:p w14:paraId="172304FC">
            <w:pPr>
              <w:widowControl/>
              <w:jc w:val="center"/>
              <w:rPr>
                <w:rFonts w:ascii="宋体" w:hAnsi="宋体" w:cs="宋体"/>
                <w:kern w:val="0"/>
                <w:sz w:val="20"/>
                <w:szCs w:val="20"/>
              </w:rPr>
            </w:pPr>
            <w:r>
              <w:rPr>
                <w:rFonts w:hint="eastAsia" w:ascii="宋体" w:hAnsi="宋体" w:cs="宋体"/>
                <w:kern w:val="0"/>
                <w:sz w:val="20"/>
                <w:szCs w:val="20"/>
              </w:rPr>
              <w:t>完成工业投资</w:t>
            </w:r>
          </w:p>
        </w:tc>
        <w:tc>
          <w:tcPr>
            <w:tcW w:w="1618" w:type="dxa"/>
            <w:tcBorders>
              <w:top w:val="nil"/>
              <w:left w:val="nil"/>
              <w:bottom w:val="single" w:color="auto" w:sz="4" w:space="0"/>
              <w:right w:val="single" w:color="auto" w:sz="4" w:space="0"/>
            </w:tcBorders>
            <w:shd w:val="clear" w:color="auto" w:fill="auto"/>
            <w:vAlign w:val="center"/>
          </w:tcPr>
          <w:p w14:paraId="19AE5EBA">
            <w:pPr>
              <w:widowControl/>
              <w:jc w:val="left"/>
              <w:rPr>
                <w:rFonts w:ascii="宋体" w:hAnsi="宋体" w:cs="宋体"/>
                <w:kern w:val="0"/>
                <w:sz w:val="20"/>
                <w:szCs w:val="20"/>
              </w:rPr>
            </w:pPr>
            <w:r>
              <w:rPr>
                <w:rFonts w:hint="eastAsia" w:ascii="宋体" w:hAnsi="宋体" w:cs="宋体"/>
                <w:kern w:val="0"/>
                <w:sz w:val="20"/>
                <w:szCs w:val="20"/>
              </w:rPr>
              <w:t>同比增长17.2%</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030728F1">
            <w:pPr>
              <w:widowControl/>
              <w:jc w:val="center"/>
              <w:rPr>
                <w:rFonts w:ascii="宋体" w:hAnsi="宋体" w:cs="宋体"/>
                <w:kern w:val="0"/>
                <w:sz w:val="20"/>
                <w:szCs w:val="20"/>
              </w:rPr>
            </w:pPr>
            <w:r>
              <w:rPr>
                <w:rFonts w:hint="eastAsia" w:ascii="宋体" w:hAnsi="宋体" w:cs="宋体"/>
                <w:kern w:val="0"/>
                <w:sz w:val="20"/>
                <w:szCs w:val="20"/>
              </w:rPr>
              <w:t>同比增长17.2%</w:t>
            </w:r>
          </w:p>
        </w:tc>
      </w:tr>
      <w:tr w14:paraId="226C500B">
        <w:tblPrEx>
          <w:tblCellMar>
            <w:top w:w="0" w:type="dxa"/>
            <w:left w:w="108" w:type="dxa"/>
            <w:bottom w:w="0" w:type="dxa"/>
            <w:right w:w="108" w:type="dxa"/>
          </w:tblCellMar>
        </w:tblPrEx>
        <w:trPr>
          <w:trHeight w:val="480" w:hRule="atLeast"/>
        </w:trPr>
        <w:tc>
          <w:tcPr>
            <w:tcW w:w="993" w:type="dxa"/>
            <w:vMerge w:val="continue"/>
            <w:tcBorders>
              <w:top w:val="nil"/>
              <w:left w:val="single" w:color="auto" w:sz="4" w:space="0"/>
              <w:bottom w:val="single" w:color="auto" w:sz="4" w:space="0"/>
              <w:right w:val="single" w:color="auto" w:sz="4" w:space="0"/>
            </w:tcBorders>
            <w:vAlign w:val="center"/>
          </w:tcPr>
          <w:p w14:paraId="5AF2FB5B">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14:paraId="4BF0DABF">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000000" w:sz="4" w:space="0"/>
              <w:right w:val="single" w:color="000000" w:sz="4" w:space="0"/>
            </w:tcBorders>
            <w:vAlign w:val="center"/>
          </w:tcPr>
          <w:p w14:paraId="345EC3C1">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06FF64AD">
            <w:pPr>
              <w:widowControl/>
              <w:jc w:val="center"/>
              <w:rPr>
                <w:rFonts w:ascii="宋体" w:hAnsi="宋体" w:cs="宋体"/>
                <w:kern w:val="0"/>
                <w:sz w:val="20"/>
                <w:szCs w:val="20"/>
              </w:rPr>
            </w:pPr>
            <w:r>
              <w:rPr>
                <w:rFonts w:hint="eastAsia" w:ascii="宋体" w:hAnsi="宋体" w:cs="宋体"/>
                <w:kern w:val="0"/>
                <w:sz w:val="20"/>
                <w:szCs w:val="20"/>
              </w:rPr>
              <w:t>完成技改投资</w:t>
            </w:r>
          </w:p>
        </w:tc>
        <w:tc>
          <w:tcPr>
            <w:tcW w:w="1618" w:type="dxa"/>
            <w:tcBorders>
              <w:top w:val="nil"/>
              <w:left w:val="nil"/>
              <w:bottom w:val="single" w:color="auto" w:sz="4" w:space="0"/>
              <w:right w:val="single" w:color="auto" w:sz="4" w:space="0"/>
            </w:tcBorders>
            <w:shd w:val="clear" w:color="auto" w:fill="auto"/>
            <w:vAlign w:val="center"/>
          </w:tcPr>
          <w:p w14:paraId="251FFFC0">
            <w:pPr>
              <w:widowControl/>
              <w:jc w:val="left"/>
              <w:rPr>
                <w:rFonts w:ascii="宋体" w:hAnsi="宋体" w:cs="宋体"/>
                <w:kern w:val="0"/>
                <w:sz w:val="20"/>
                <w:szCs w:val="20"/>
              </w:rPr>
            </w:pPr>
            <w:r>
              <w:rPr>
                <w:rFonts w:hint="eastAsia" w:ascii="宋体" w:hAnsi="宋体" w:cs="宋体"/>
                <w:kern w:val="0"/>
                <w:sz w:val="20"/>
                <w:szCs w:val="20"/>
              </w:rPr>
              <w:t>同比增长21.6%</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578FC02A">
            <w:pPr>
              <w:widowControl/>
              <w:jc w:val="center"/>
              <w:rPr>
                <w:rFonts w:ascii="宋体" w:hAnsi="宋体" w:cs="宋体"/>
                <w:kern w:val="0"/>
                <w:sz w:val="20"/>
                <w:szCs w:val="20"/>
              </w:rPr>
            </w:pPr>
            <w:r>
              <w:rPr>
                <w:rFonts w:hint="eastAsia" w:ascii="宋体" w:hAnsi="宋体" w:cs="宋体"/>
                <w:kern w:val="0"/>
                <w:sz w:val="20"/>
                <w:szCs w:val="20"/>
              </w:rPr>
              <w:t>同比增长21.6%</w:t>
            </w:r>
          </w:p>
        </w:tc>
      </w:tr>
      <w:tr w14:paraId="4CC9F896">
        <w:tblPrEx>
          <w:tblCellMar>
            <w:top w:w="0" w:type="dxa"/>
            <w:left w:w="108" w:type="dxa"/>
            <w:bottom w:w="0" w:type="dxa"/>
            <w:right w:w="108" w:type="dxa"/>
          </w:tblCellMar>
        </w:tblPrEx>
        <w:trPr>
          <w:trHeight w:val="480" w:hRule="atLeast"/>
        </w:trPr>
        <w:tc>
          <w:tcPr>
            <w:tcW w:w="993" w:type="dxa"/>
            <w:vMerge w:val="continue"/>
            <w:tcBorders>
              <w:top w:val="nil"/>
              <w:left w:val="single" w:color="auto" w:sz="4" w:space="0"/>
              <w:bottom w:val="single" w:color="auto" w:sz="4" w:space="0"/>
              <w:right w:val="single" w:color="auto" w:sz="4" w:space="0"/>
            </w:tcBorders>
            <w:vAlign w:val="center"/>
          </w:tcPr>
          <w:p w14:paraId="5D35723F">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14:paraId="6A095FFB">
            <w:pPr>
              <w:widowControl/>
              <w:jc w:val="left"/>
              <w:rPr>
                <w:rFonts w:ascii="宋体" w:hAnsi="宋体" w:cs="宋体"/>
                <w:color w:val="000000"/>
                <w:kern w:val="0"/>
                <w:sz w:val="20"/>
                <w:szCs w:val="20"/>
              </w:rPr>
            </w:pPr>
          </w:p>
        </w:tc>
        <w:tc>
          <w:tcPr>
            <w:tcW w:w="1701" w:type="dxa"/>
            <w:gridSpan w:val="2"/>
            <w:vMerge w:val="continue"/>
            <w:tcBorders>
              <w:top w:val="single" w:color="auto" w:sz="4" w:space="0"/>
              <w:left w:val="single" w:color="auto" w:sz="4" w:space="0"/>
              <w:bottom w:val="single" w:color="000000" w:sz="4" w:space="0"/>
              <w:right w:val="single" w:color="000000" w:sz="4" w:space="0"/>
            </w:tcBorders>
            <w:vAlign w:val="center"/>
          </w:tcPr>
          <w:p w14:paraId="367AA511">
            <w:pPr>
              <w:widowControl/>
              <w:jc w:val="left"/>
              <w:rPr>
                <w:rFonts w:ascii="宋体" w:hAnsi="宋体" w:cs="宋体"/>
                <w:color w:val="000000"/>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3AFB2A5E">
            <w:pPr>
              <w:widowControl/>
              <w:jc w:val="center"/>
              <w:rPr>
                <w:rFonts w:ascii="宋体" w:hAnsi="宋体" w:cs="宋体"/>
                <w:kern w:val="0"/>
                <w:sz w:val="20"/>
                <w:szCs w:val="20"/>
              </w:rPr>
            </w:pPr>
            <w:r>
              <w:rPr>
                <w:rFonts w:hint="eastAsia" w:ascii="宋体" w:hAnsi="宋体" w:cs="宋体"/>
                <w:kern w:val="0"/>
                <w:sz w:val="20"/>
                <w:szCs w:val="20"/>
              </w:rPr>
              <w:t>规上工业企业营业收入</w:t>
            </w:r>
          </w:p>
        </w:tc>
        <w:tc>
          <w:tcPr>
            <w:tcW w:w="1618" w:type="dxa"/>
            <w:tcBorders>
              <w:top w:val="nil"/>
              <w:left w:val="nil"/>
              <w:bottom w:val="single" w:color="auto" w:sz="4" w:space="0"/>
              <w:right w:val="single" w:color="auto" w:sz="4" w:space="0"/>
            </w:tcBorders>
            <w:shd w:val="clear" w:color="auto" w:fill="auto"/>
            <w:vAlign w:val="center"/>
          </w:tcPr>
          <w:p w14:paraId="4689D11D">
            <w:pPr>
              <w:widowControl/>
              <w:jc w:val="left"/>
              <w:rPr>
                <w:rFonts w:ascii="宋体" w:hAnsi="宋体" w:cs="宋体"/>
                <w:kern w:val="0"/>
                <w:sz w:val="20"/>
                <w:szCs w:val="20"/>
              </w:rPr>
            </w:pPr>
            <w:r>
              <w:rPr>
                <w:rFonts w:hint="eastAsia" w:ascii="宋体" w:hAnsi="宋体" w:cs="宋体"/>
                <w:kern w:val="0"/>
                <w:sz w:val="20"/>
                <w:szCs w:val="20"/>
              </w:rPr>
              <w:t>2233.6亿元</w:t>
            </w:r>
          </w:p>
        </w:tc>
        <w:tc>
          <w:tcPr>
            <w:tcW w:w="2080" w:type="dxa"/>
            <w:gridSpan w:val="2"/>
            <w:tcBorders>
              <w:top w:val="single" w:color="auto" w:sz="4" w:space="0"/>
              <w:left w:val="nil"/>
              <w:bottom w:val="single" w:color="auto" w:sz="4" w:space="0"/>
              <w:right w:val="single" w:color="000000" w:sz="4" w:space="0"/>
            </w:tcBorders>
            <w:shd w:val="clear" w:color="auto" w:fill="auto"/>
            <w:vAlign w:val="center"/>
          </w:tcPr>
          <w:p w14:paraId="4EA796FA">
            <w:pPr>
              <w:widowControl/>
              <w:jc w:val="center"/>
              <w:rPr>
                <w:rFonts w:ascii="宋体" w:hAnsi="宋体" w:cs="宋体"/>
                <w:kern w:val="0"/>
                <w:sz w:val="20"/>
                <w:szCs w:val="20"/>
              </w:rPr>
            </w:pPr>
            <w:r>
              <w:rPr>
                <w:rFonts w:hint="eastAsia" w:ascii="宋体" w:hAnsi="宋体" w:cs="宋体"/>
                <w:kern w:val="0"/>
                <w:sz w:val="20"/>
                <w:szCs w:val="20"/>
              </w:rPr>
              <w:t>2233.6亿元</w:t>
            </w:r>
          </w:p>
        </w:tc>
      </w:tr>
      <w:tr w14:paraId="5A18D53B">
        <w:tblPrEx>
          <w:tblCellMar>
            <w:top w:w="0" w:type="dxa"/>
            <w:left w:w="108" w:type="dxa"/>
            <w:bottom w:w="0" w:type="dxa"/>
            <w:right w:w="108" w:type="dxa"/>
          </w:tblCellMar>
        </w:tblPrEx>
        <w:trPr>
          <w:trHeight w:val="705" w:hRule="atLeast"/>
        </w:trPr>
        <w:tc>
          <w:tcPr>
            <w:tcW w:w="993" w:type="dxa"/>
            <w:vMerge w:val="continue"/>
            <w:tcBorders>
              <w:top w:val="nil"/>
              <w:left w:val="single" w:color="auto" w:sz="4" w:space="0"/>
              <w:bottom w:val="single" w:color="auto" w:sz="4" w:space="0"/>
              <w:right w:val="single" w:color="auto" w:sz="4" w:space="0"/>
            </w:tcBorders>
            <w:vAlign w:val="center"/>
          </w:tcPr>
          <w:p w14:paraId="739D6B5B">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14:paraId="7E20393F">
            <w:pPr>
              <w:widowControl/>
              <w:jc w:val="left"/>
              <w:rPr>
                <w:rFonts w:ascii="宋体" w:hAnsi="宋体" w:cs="宋体"/>
                <w:color w:val="000000"/>
                <w:kern w:val="0"/>
                <w:sz w:val="20"/>
                <w:szCs w:val="20"/>
              </w:rPr>
            </w:pP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32F51BC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0250C56B">
            <w:pPr>
              <w:widowControl/>
              <w:jc w:val="center"/>
              <w:rPr>
                <w:rFonts w:ascii="宋体" w:hAnsi="宋体" w:cs="宋体"/>
                <w:color w:val="000000"/>
                <w:kern w:val="0"/>
                <w:sz w:val="20"/>
                <w:szCs w:val="20"/>
              </w:rPr>
            </w:pPr>
            <w:r>
              <w:rPr>
                <w:rFonts w:hint="eastAsia" w:ascii="宋体" w:hAnsi="宋体" w:cs="宋体"/>
                <w:color w:val="000000"/>
                <w:kern w:val="0"/>
                <w:sz w:val="20"/>
                <w:szCs w:val="20"/>
              </w:rPr>
              <w:t>提供更多就业岗位</w:t>
            </w:r>
          </w:p>
        </w:tc>
        <w:tc>
          <w:tcPr>
            <w:tcW w:w="1618" w:type="dxa"/>
            <w:tcBorders>
              <w:top w:val="nil"/>
              <w:left w:val="nil"/>
              <w:bottom w:val="single" w:color="auto" w:sz="4" w:space="0"/>
              <w:right w:val="single" w:color="auto" w:sz="4" w:space="0"/>
            </w:tcBorders>
            <w:shd w:val="clear" w:color="auto" w:fill="auto"/>
            <w:vAlign w:val="center"/>
          </w:tcPr>
          <w:p w14:paraId="0AFD7823">
            <w:pPr>
              <w:widowControl/>
              <w:jc w:val="left"/>
              <w:rPr>
                <w:rFonts w:ascii="宋体" w:hAnsi="宋体" w:cs="宋体"/>
                <w:kern w:val="0"/>
                <w:sz w:val="20"/>
                <w:szCs w:val="20"/>
              </w:rPr>
            </w:pPr>
            <w:r>
              <w:rPr>
                <w:rFonts w:hint="eastAsia" w:ascii="宋体" w:hAnsi="宋体" w:cs="宋体"/>
                <w:kern w:val="0"/>
                <w:sz w:val="20"/>
                <w:szCs w:val="20"/>
              </w:rPr>
              <w:t>增加全市就业率</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0087E856">
            <w:pPr>
              <w:widowControl/>
              <w:jc w:val="center"/>
              <w:rPr>
                <w:rFonts w:ascii="宋体" w:hAnsi="宋体" w:cs="宋体"/>
                <w:color w:val="000000"/>
                <w:kern w:val="0"/>
                <w:sz w:val="20"/>
                <w:szCs w:val="20"/>
              </w:rPr>
            </w:pPr>
            <w:r>
              <w:rPr>
                <w:rFonts w:hint="eastAsia" w:ascii="宋体" w:hAnsi="宋体" w:cs="宋体"/>
                <w:color w:val="000000"/>
                <w:kern w:val="0"/>
                <w:sz w:val="20"/>
                <w:szCs w:val="20"/>
              </w:rPr>
              <w:t>提供更多就业岗位增加全市就业率</w:t>
            </w:r>
          </w:p>
        </w:tc>
      </w:tr>
      <w:tr w14:paraId="69BFE574">
        <w:tblPrEx>
          <w:tblCellMar>
            <w:top w:w="0" w:type="dxa"/>
            <w:left w:w="108" w:type="dxa"/>
            <w:bottom w:w="0" w:type="dxa"/>
            <w:right w:w="108" w:type="dxa"/>
          </w:tblCellMar>
        </w:tblPrEx>
        <w:trPr>
          <w:trHeight w:val="615" w:hRule="atLeast"/>
        </w:trPr>
        <w:tc>
          <w:tcPr>
            <w:tcW w:w="993" w:type="dxa"/>
            <w:vMerge w:val="continue"/>
            <w:tcBorders>
              <w:top w:val="nil"/>
              <w:left w:val="single" w:color="auto" w:sz="4" w:space="0"/>
              <w:bottom w:val="single" w:color="auto" w:sz="4" w:space="0"/>
              <w:right w:val="single" w:color="auto" w:sz="4" w:space="0"/>
            </w:tcBorders>
            <w:vAlign w:val="center"/>
          </w:tcPr>
          <w:p w14:paraId="7D26CD55">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14:paraId="6258D0A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1E1B3C5B">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14:paraId="51C14401">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市级部门、县（区）满意度</w:t>
            </w:r>
          </w:p>
        </w:tc>
        <w:tc>
          <w:tcPr>
            <w:tcW w:w="1618" w:type="dxa"/>
            <w:tcBorders>
              <w:top w:val="nil"/>
              <w:left w:val="nil"/>
              <w:bottom w:val="single" w:color="auto" w:sz="4" w:space="0"/>
              <w:right w:val="single" w:color="auto" w:sz="4" w:space="0"/>
            </w:tcBorders>
            <w:shd w:val="clear" w:color="auto" w:fill="auto"/>
            <w:vAlign w:val="center"/>
          </w:tcPr>
          <w:p w14:paraId="6A2C6CB1">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14:paraId="3D9E297B">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w:t>
            </w:r>
          </w:p>
        </w:tc>
      </w:tr>
    </w:tbl>
    <w:p w14:paraId="25A564A8">
      <w:pPr>
        <w:pStyle w:val="2"/>
        <w:spacing w:before="93"/>
        <w:rPr>
          <w:rFonts w:ascii="宋体" w:hAnsi="宋体" w:cs="宋体"/>
          <w:b/>
          <w:sz w:val="32"/>
          <w:szCs w:val="32"/>
        </w:rPr>
      </w:pPr>
      <w:bookmarkStart w:id="53" w:name="_Toc15396618"/>
      <w:r>
        <w:rPr>
          <w:rFonts w:hint="eastAsia" w:ascii="宋体" w:hAnsi="宋体" w:cs="宋体"/>
          <w:b/>
          <w:sz w:val="32"/>
          <w:szCs w:val="32"/>
        </w:rPr>
        <w:t>2021年电子政务外网和协同平台运维项目绩效目标自评</w:t>
      </w:r>
    </w:p>
    <w:tbl>
      <w:tblPr>
        <w:tblStyle w:val="12"/>
        <w:tblW w:w="10773" w:type="dxa"/>
        <w:tblInd w:w="-1026" w:type="dxa"/>
        <w:tblLayout w:type="autofit"/>
        <w:tblCellMar>
          <w:top w:w="0" w:type="dxa"/>
          <w:left w:w="108" w:type="dxa"/>
          <w:bottom w:w="0" w:type="dxa"/>
          <w:right w:w="108" w:type="dxa"/>
        </w:tblCellMar>
      </w:tblPr>
      <w:tblGrid>
        <w:gridCol w:w="850"/>
        <w:gridCol w:w="1135"/>
        <w:gridCol w:w="1274"/>
        <w:gridCol w:w="143"/>
        <w:gridCol w:w="1597"/>
        <w:gridCol w:w="1097"/>
        <w:gridCol w:w="2693"/>
        <w:gridCol w:w="270"/>
        <w:gridCol w:w="1714"/>
      </w:tblGrid>
      <w:tr w14:paraId="62A6C881">
        <w:tblPrEx>
          <w:tblCellMar>
            <w:top w:w="0" w:type="dxa"/>
            <w:left w:w="108" w:type="dxa"/>
            <w:bottom w:w="0" w:type="dxa"/>
            <w:right w:w="108" w:type="dxa"/>
          </w:tblCellMar>
        </w:tblPrEx>
        <w:trPr>
          <w:trHeight w:val="495" w:hRule="atLeast"/>
        </w:trPr>
        <w:tc>
          <w:tcPr>
            <w:tcW w:w="32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83B8864">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主管部门及代码</w:t>
            </w:r>
          </w:p>
        </w:tc>
        <w:tc>
          <w:tcPr>
            <w:tcW w:w="2837" w:type="dxa"/>
            <w:gridSpan w:val="3"/>
            <w:tcBorders>
              <w:top w:val="single" w:color="auto" w:sz="4" w:space="0"/>
              <w:left w:val="nil"/>
              <w:bottom w:val="single" w:color="auto" w:sz="4" w:space="0"/>
              <w:right w:val="single" w:color="000000" w:sz="4" w:space="0"/>
            </w:tcBorders>
            <w:shd w:val="clear" w:color="auto" w:fill="auto"/>
            <w:vAlign w:val="center"/>
          </w:tcPr>
          <w:p w14:paraId="1EFB0F8E">
            <w:pPr>
              <w:widowControl/>
              <w:rPr>
                <w:rFonts w:ascii="宋体" w:hAnsi="宋体" w:cs="宋体"/>
                <w:color w:val="000000"/>
                <w:kern w:val="0"/>
                <w:sz w:val="20"/>
                <w:szCs w:val="20"/>
              </w:rPr>
            </w:pPr>
            <w:r>
              <w:rPr>
                <w:rFonts w:hint="eastAsia" w:ascii="宋体" w:hAnsi="宋体" w:cs="宋体"/>
                <w:color w:val="000000"/>
                <w:kern w:val="0"/>
                <w:sz w:val="20"/>
                <w:szCs w:val="20"/>
              </w:rPr>
              <w:t>攀枝花市经济和信息化局</w:t>
            </w:r>
          </w:p>
        </w:tc>
        <w:tc>
          <w:tcPr>
            <w:tcW w:w="2963" w:type="dxa"/>
            <w:gridSpan w:val="2"/>
            <w:tcBorders>
              <w:top w:val="single" w:color="auto" w:sz="4" w:space="0"/>
              <w:left w:val="nil"/>
              <w:bottom w:val="single" w:color="auto" w:sz="4" w:space="0"/>
              <w:right w:val="single" w:color="000000" w:sz="4" w:space="0"/>
            </w:tcBorders>
            <w:shd w:val="clear" w:color="auto" w:fill="auto"/>
            <w:vAlign w:val="center"/>
          </w:tcPr>
          <w:p w14:paraId="2DF7D9B3">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1714" w:type="dxa"/>
            <w:tcBorders>
              <w:top w:val="single" w:color="auto" w:sz="4" w:space="0"/>
              <w:left w:val="nil"/>
              <w:bottom w:val="single" w:color="auto" w:sz="4" w:space="0"/>
              <w:right w:val="single" w:color="auto" w:sz="4" w:space="0"/>
            </w:tcBorders>
            <w:shd w:val="clear" w:color="auto" w:fill="auto"/>
            <w:vAlign w:val="center"/>
          </w:tcPr>
          <w:p w14:paraId="5E1F42E4">
            <w:pPr>
              <w:widowControl/>
              <w:jc w:val="center"/>
              <w:rPr>
                <w:rFonts w:ascii="宋体" w:hAnsi="宋体" w:cs="宋体"/>
                <w:color w:val="000000"/>
                <w:kern w:val="0"/>
                <w:sz w:val="20"/>
                <w:szCs w:val="20"/>
              </w:rPr>
            </w:pPr>
            <w:r>
              <w:rPr>
                <w:rFonts w:hint="eastAsia" w:ascii="宋体" w:hAnsi="宋体" w:cs="宋体"/>
                <w:color w:val="000000"/>
                <w:kern w:val="0"/>
                <w:sz w:val="20"/>
                <w:szCs w:val="20"/>
              </w:rPr>
              <w:t>攀枝花市经济和信息化局</w:t>
            </w:r>
          </w:p>
        </w:tc>
      </w:tr>
      <w:tr w14:paraId="4F009842">
        <w:tblPrEx>
          <w:tblCellMar>
            <w:top w:w="0" w:type="dxa"/>
            <w:left w:w="108" w:type="dxa"/>
            <w:bottom w:w="0" w:type="dxa"/>
            <w:right w:w="108" w:type="dxa"/>
          </w:tblCellMar>
        </w:tblPrEx>
        <w:trPr>
          <w:trHeight w:val="285" w:hRule="atLeast"/>
        </w:trPr>
        <w:tc>
          <w:tcPr>
            <w:tcW w:w="325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D3567FA">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项目预算执行情况（万元）</w:t>
            </w:r>
          </w:p>
        </w:tc>
        <w:tc>
          <w:tcPr>
            <w:tcW w:w="1740" w:type="dxa"/>
            <w:gridSpan w:val="2"/>
            <w:tcBorders>
              <w:top w:val="single" w:color="auto" w:sz="4" w:space="0"/>
              <w:left w:val="nil"/>
              <w:bottom w:val="single" w:color="auto" w:sz="4" w:space="0"/>
              <w:right w:val="single" w:color="000000" w:sz="4" w:space="0"/>
            </w:tcBorders>
            <w:shd w:val="clear" w:color="auto" w:fill="auto"/>
            <w:vAlign w:val="center"/>
          </w:tcPr>
          <w:p w14:paraId="5A75700B">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预算数：</w:t>
            </w:r>
          </w:p>
        </w:tc>
        <w:tc>
          <w:tcPr>
            <w:tcW w:w="1097" w:type="dxa"/>
            <w:tcBorders>
              <w:top w:val="nil"/>
              <w:left w:val="nil"/>
              <w:bottom w:val="single" w:color="auto" w:sz="4" w:space="0"/>
              <w:right w:val="single" w:color="auto" w:sz="4" w:space="0"/>
            </w:tcBorders>
            <w:shd w:val="clear" w:color="auto" w:fill="auto"/>
            <w:vAlign w:val="center"/>
          </w:tcPr>
          <w:p w14:paraId="2F50B571">
            <w:pPr>
              <w:widowControl/>
              <w:jc w:val="center"/>
              <w:rPr>
                <w:rFonts w:ascii="宋体" w:hAnsi="宋体" w:cs="宋体"/>
                <w:color w:val="000000"/>
                <w:kern w:val="0"/>
                <w:sz w:val="20"/>
                <w:szCs w:val="20"/>
              </w:rPr>
            </w:pPr>
            <w:r>
              <w:rPr>
                <w:rFonts w:hint="eastAsia" w:ascii="宋体" w:hAnsi="宋体" w:cs="宋体"/>
                <w:color w:val="000000"/>
                <w:kern w:val="0"/>
                <w:sz w:val="20"/>
                <w:szCs w:val="20"/>
              </w:rPr>
              <w:t>84.55</w:t>
            </w:r>
          </w:p>
        </w:tc>
        <w:tc>
          <w:tcPr>
            <w:tcW w:w="2963" w:type="dxa"/>
            <w:gridSpan w:val="2"/>
            <w:tcBorders>
              <w:top w:val="single" w:color="auto" w:sz="4" w:space="0"/>
              <w:left w:val="nil"/>
              <w:bottom w:val="single" w:color="auto" w:sz="4" w:space="0"/>
              <w:right w:val="single" w:color="000000" w:sz="4" w:space="0"/>
            </w:tcBorders>
            <w:shd w:val="clear" w:color="auto" w:fill="auto"/>
            <w:vAlign w:val="center"/>
          </w:tcPr>
          <w:p w14:paraId="6BDBE67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执行数：</w:t>
            </w:r>
          </w:p>
        </w:tc>
        <w:tc>
          <w:tcPr>
            <w:tcW w:w="1714" w:type="dxa"/>
            <w:tcBorders>
              <w:top w:val="nil"/>
              <w:left w:val="nil"/>
              <w:bottom w:val="single" w:color="auto" w:sz="4" w:space="0"/>
              <w:right w:val="single" w:color="auto" w:sz="4" w:space="0"/>
            </w:tcBorders>
            <w:shd w:val="clear" w:color="auto" w:fill="auto"/>
            <w:vAlign w:val="center"/>
          </w:tcPr>
          <w:p w14:paraId="119C0E3A">
            <w:pPr>
              <w:widowControl/>
              <w:jc w:val="center"/>
              <w:rPr>
                <w:rFonts w:ascii="宋体" w:hAnsi="宋体" w:cs="宋体"/>
                <w:color w:val="000000"/>
                <w:kern w:val="0"/>
                <w:sz w:val="20"/>
                <w:szCs w:val="20"/>
              </w:rPr>
            </w:pPr>
            <w:r>
              <w:rPr>
                <w:rFonts w:hint="eastAsia" w:ascii="宋体" w:hAnsi="宋体" w:cs="宋体"/>
                <w:color w:val="000000"/>
                <w:kern w:val="0"/>
                <w:sz w:val="20"/>
                <w:szCs w:val="20"/>
              </w:rPr>
              <w:t>84.55</w:t>
            </w:r>
          </w:p>
        </w:tc>
      </w:tr>
      <w:tr w14:paraId="00E4DE02">
        <w:tblPrEx>
          <w:tblCellMar>
            <w:top w:w="0" w:type="dxa"/>
            <w:left w:w="108" w:type="dxa"/>
            <w:bottom w:w="0" w:type="dxa"/>
            <w:right w:w="108" w:type="dxa"/>
          </w:tblCellMar>
        </w:tblPrEx>
        <w:trPr>
          <w:trHeight w:val="345" w:hRule="atLeast"/>
        </w:trPr>
        <w:tc>
          <w:tcPr>
            <w:tcW w:w="3259" w:type="dxa"/>
            <w:gridSpan w:val="3"/>
            <w:vMerge w:val="continue"/>
            <w:tcBorders>
              <w:top w:val="single" w:color="auto" w:sz="4" w:space="0"/>
              <w:left w:val="single" w:color="auto" w:sz="4" w:space="0"/>
              <w:bottom w:val="single" w:color="000000" w:sz="4" w:space="0"/>
              <w:right w:val="single" w:color="000000" w:sz="4" w:space="0"/>
            </w:tcBorders>
            <w:vAlign w:val="center"/>
          </w:tcPr>
          <w:p w14:paraId="168698D1">
            <w:pPr>
              <w:widowControl/>
              <w:jc w:val="left"/>
              <w:rPr>
                <w:rFonts w:ascii="宋体" w:hAnsi="宋体" w:cs="宋体"/>
                <w:color w:val="000000"/>
                <w:kern w:val="0"/>
                <w:sz w:val="20"/>
                <w:szCs w:val="20"/>
              </w:rPr>
            </w:pPr>
          </w:p>
        </w:tc>
        <w:tc>
          <w:tcPr>
            <w:tcW w:w="1740" w:type="dxa"/>
            <w:gridSpan w:val="2"/>
            <w:tcBorders>
              <w:top w:val="single" w:color="auto" w:sz="4" w:space="0"/>
              <w:left w:val="nil"/>
              <w:bottom w:val="nil"/>
              <w:right w:val="single" w:color="000000" w:sz="4" w:space="0"/>
            </w:tcBorders>
            <w:shd w:val="clear" w:color="auto" w:fill="auto"/>
            <w:vAlign w:val="center"/>
          </w:tcPr>
          <w:p w14:paraId="7741DC95">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1097" w:type="dxa"/>
            <w:tcBorders>
              <w:top w:val="nil"/>
              <w:left w:val="nil"/>
              <w:bottom w:val="nil"/>
              <w:right w:val="single" w:color="auto" w:sz="4" w:space="0"/>
            </w:tcBorders>
            <w:shd w:val="clear" w:color="auto" w:fill="auto"/>
            <w:vAlign w:val="center"/>
          </w:tcPr>
          <w:p w14:paraId="25D719AE">
            <w:pPr>
              <w:widowControl/>
              <w:jc w:val="center"/>
              <w:rPr>
                <w:rFonts w:ascii="宋体" w:hAnsi="宋体" w:cs="宋体"/>
                <w:color w:val="000000"/>
                <w:kern w:val="0"/>
                <w:sz w:val="20"/>
                <w:szCs w:val="20"/>
              </w:rPr>
            </w:pPr>
            <w:r>
              <w:rPr>
                <w:rFonts w:hint="eastAsia" w:ascii="宋体" w:hAnsi="宋体" w:cs="宋体"/>
                <w:color w:val="000000"/>
                <w:kern w:val="0"/>
                <w:sz w:val="20"/>
                <w:szCs w:val="20"/>
              </w:rPr>
              <w:t>84.55</w:t>
            </w:r>
          </w:p>
        </w:tc>
        <w:tc>
          <w:tcPr>
            <w:tcW w:w="2963" w:type="dxa"/>
            <w:gridSpan w:val="2"/>
            <w:tcBorders>
              <w:top w:val="single" w:color="auto" w:sz="4" w:space="0"/>
              <w:left w:val="nil"/>
              <w:bottom w:val="nil"/>
              <w:right w:val="single" w:color="000000" w:sz="4" w:space="0"/>
            </w:tcBorders>
            <w:shd w:val="clear" w:color="auto" w:fill="auto"/>
            <w:vAlign w:val="center"/>
          </w:tcPr>
          <w:p w14:paraId="7A557117">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其中：财政拨款</w:t>
            </w:r>
          </w:p>
        </w:tc>
        <w:tc>
          <w:tcPr>
            <w:tcW w:w="1714" w:type="dxa"/>
            <w:tcBorders>
              <w:top w:val="nil"/>
              <w:left w:val="nil"/>
              <w:bottom w:val="nil"/>
              <w:right w:val="single" w:color="auto" w:sz="4" w:space="0"/>
            </w:tcBorders>
            <w:shd w:val="clear" w:color="auto" w:fill="auto"/>
            <w:vAlign w:val="center"/>
          </w:tcPr>
          <w:p w14:paraId="1B59207F">
            <w:pPr>
              <w:widowControl/>
              <w:jc w:val="center"/>
              <w:rPr>
                <w:rFonts w:ascii="宋体" w:hAnsi="宋体" w:cs="宋体"/>
                <w:color w:val="000000"/>
                <w:kern w:val="0"/>
                <w:sz w:val="20"/>
                <w:szCs w:val="20"/>
              </w:rPr>
            </w:pPr>
            <w:r>
              <w:rPr>
                <w:rFonts w:hint="eastAsia" w:ascii="宋体" w:hAnsi="宋体" w:cs="宋体"/>
                <w:color w:val="000000"/>
                <w:kern w:val="0"/>
                <w:sz w:val="20"/>
                <w:szCs w:val="20"/>
              </w:rPr>
              <w:t>84.55</w:t>
            </w:r>
          </w:p>
        </w:tc>
      </w:tr>
      <w:tr w14:paraId="2B6691EF">
        <w:tblPrEx>
          <w:tblCellMar>
            <w:top w:w="0" w:type="dxa"/>
            <w:left w:w="108" w:type="dxa"/>
            <w:bottom w:w="0" w:type="dxa"/>
            <w:right w:w="108" w:type="dxa"/>
          </w:tblCellMar>
        </w:tblPrEx>
        <w:trPr>
          <w:trHeight w:val="345" w:hRule="atLeast"/>
        </w:trPr>
        <w:tc>
          <w:tcPr>
            <w:tcW w:w="3259" w:type="dxa"/>
            <w:gridSpan w:val="3"/>
            <w:vMerge w:val="continue"/>
            <w:tcBorders>
              <w:top w:val="single" w:color="auto" w:sz="4" w:space="0"/>
              <w:left w:val="single" w:color="auto" w:sz="4" w:space="0"/>
              <w:bottom w:val="single" w:color="000000" w:sz="4" w:space="0"/>
              <w:right w:val="single" w:color="000000" w:sz="4" w:space="0"/>
            </w:tcBorders>
            <w:vAlign w:val="center"/>
          </w:tcPr>
          <w:p w14:paraId="42018F12">
            <w:pPr>
              <w:widowControl/>
              <w:jc w:val="left"/>
              <w:rPr>
                <w:rFonts w:ascii="宋体" w:hAnsi="宋体" w:cs="宋体"/>
                <w:color w:val="000000"/>
                <w:kern w:val="0"/>
                <w:sz w:val="20"/>
                <w:szCs w:val="20"/>
              </w:rPr>
            </w:pPr>
          </w:p>
        </w:tc>
        <w:tc>
          <w:tcPr>
            <w:tcW w:w="1740" w:type="dxa"/>
            <w:gridSpan w:val="2"/>
            <w:tcBorders>
              <w:top w:val="single" w:color="auto" w:sz="4" w:space="0"/>
              <w:left w:val="nil"/>
              <w:bottom w:val="single" w:color="auto" w:sz="4" w:space="0"/>
              <w:right w:val="single" w:color="000000" w:sz="4" w:space="0"/>
            </w:tcBorders>
            <w:shd w:val="clear" w:color="auto" w:fill="auto"/>
            <w:vAlign w:val="center"/>
          </w:tcPr>
          <w:p w14:paraId="490B4F4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1097" w:type="dxa"/>
            <w:tcBorders>
              <w:top w:val="single" w:color="auto" w:sz="4" w:space="0"/>
              <w:left w:val="nil"/>
              <w:bottom w:val="single" w:color="auto" w:sz="4" w:space="0"/>
              <w:right w:val="single" w:color="auto" w:sz="4" w:space="0"/>
            </w:tcBorders>
            <w:shd w:val="clear" w:color="auto" w:fill="auto"/>
            <w:vAlign w:val="center"/>
          </w:tcPr>
          <w:p w14:paraId="60E14B1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63" w:type="dxa"/>
            <w:gridSpan w:val="2"/>
            <w:tcBorders>
              <w:top w:val="single" w:color="auto" w:sz="4" w:space="0"/>
              <w:left w:val="nil"/>
              <w:bottom w:val="single" w:color="auto" w:sz="4" w:space="0"/>
              <w:right w:val="single" w:color="000000" w:sz="4" w:space="0"/>
            </w:tcBorders>
            <w:shd w:val="clear" w:color="auto" w:fill="auto"/>
            <w:vAlign w:val="center"/>
          </w:tcPr>
          <w:p w14:paraId="51300465">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1714" w:type="dxa"/>
            <w:tcBorders>
              <w:top w:val="single" w:color="auto" w:sz="4" w:space="0"/>
              <w:left w:val="nil"/>
              <w:bottom w:val="single" w:color="auto" w:sz="4" w:space="0"/>
              <w:right w:val="single" w:color="auto" w:sz="4" w:space="0"/>
            </w:tcBorders>
            <w:shd w:val="clear" w:color="auto" w:fill="auto"/>
            <w:vAlign w:val="center"/>
          </w:tcPr>
          <w:p w14:paraId="27DEA11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7292AFB2">
        <w:tblPrEx>
          <w:tblCellMar>
            <w:top w:w="0" w:type="dxa"/>
            <w:left w:w="108" w:type="dxa"/>
            <w:bottom w:w="0" w:type="dxa"/>
            <w:right w:w="108" w:type="dxa"/>
          </w:tblCellMar>
        </w:tblPrEx>
        <w:trPr>
          <w:trHeight w:val="345" w:hRule="atLeast"/>
        </w:trPr>
        <w:tc>
          <w:tcPr>
            <w:tcW w:w="850" w:type="dxa"/>
            <w:vMerge w:val="restart"/>
            <w:tcBorders>
              <w:top w:val="nil"/>
              <w:left w:val="single" w:color="auto" w:sz="4" w:space="0"/>
              <w:bottom w:val="single" w:color="000000" w:sz="4" w:space="0"/>
              <w:right w:val="single" w:color="auto" w:sz="4" w:space="0"/>
            </w:tcBorders>
            <w:shd w:val="clear" w:color="auto" w:fill="auto"/>
            <w:vAlign w:val="center"/>
          </w:tcPr>
          <w:p w14:paraId="333F06E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年度总体目标完成情况</w:t>
            </w:r>
          </w:p>
        </w:tc>
        <w:tc>
          <w:tcPr>
            <w:tcW w:w="5246" w:type="dxa"/>
            <w:gridSpan w:val="5"/>
            <w:tcBorders>
              <w:top w:val="single" w:color="auto" w:sz="4" w:space="0"/>
              <w:left w:val="nil"/>
              <w:bottom w:val="single" w:color="auto" w:sz="4" w:space="0"/>
              <w:right w:val="single" w:color="000000" w:sz="4" w:space="0"/>
            </w:tcBorders>
            <w:shd w:val="clear" w:color="auto" w:fill="auto"/>
            <w:vAlign w:val="center"/>
          </w:tcPr>
          <w:p w14:paraId="3490FFB0">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4677" w:type="dxa"/>
            <w:gridSpan w:val="3"/>
            <w:tcBorders>
              <w:top w:val="single" w:color="auto" w:sz="4" w:space="0"/>
              <w:left w:val="nil"/>
              <w:bottom w:val="single" w:color="auto" w:sz="4" w:space="0"/>
              <w:right w:val="single" w:color="000000" w:sz="4" w:space="0"/>
            </w:tcBorders>
            <w:shd w:val="clear" w:color="auto" w:fill="auto"/>
            <w:vAlign w:val="center"/>
          </w:tcPr>
          <w:p w14:paraId="3C8FF063">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目标实际完成情况</w:t>
            </w:r>
          </w:p>
        </w:tc>
      </w:tr>
      <w:tr w14:paraId="14031B82">
        <w:tblPrEx>
          <w:tblCellMar>
            <w:top w:w="0" w:type="dxa"/>
            <w:left w:w="108" w:type="dxa"/>
            <w:bottom w:w="0" w:type="dxa"/>
            <w:right w:w="108" w:type="dxa"/>
          </w:tblCellMar>
        </w:tblPrEx>
        <w:trPr>
          <w:trHeight w:val="780" w:hRule="atLeast"/>
        </w:trPr>
        <w:tc>
          <w:tcPr>
            <w:tcW w:w="850" w:type="dxa"/>
            <w:vMerge w:val="continue"/>
            <w:tcBorders>
              <w:top w:val="nil"/>
              <w:left w:val="single" w:color="auto" w:sz="4" w:space="0"/>
              <w:bottom w:val="single" w:color="000000" w:sz="4" w:space="0"/>
              <w:right w:val="single" w:color="auto" w:sz="4" w:space="0"/>
            </w:tcBorders>
            <w:vAlign w:val="center"/>
          </w:tcPr>
          <w:p w14:paraId="1B93AF3F">
            <w:pPr>
              <w:widowControl/>
              <w:jc w:val="left"/>
              <w:rPr>
                <w:rFonts w:ascii="宋体" w:hAnsi="宋体" w:cs="宋体"/>
                <w:color w:val="000000"/>
                <w:kern w:val="0"/>
                <w:sz w:val="20"/>
                <w:szCs w:val="20"/>
              </w:rPr>
            </w:pPr>
          </w:p>
        </w:tc>
        <w:tc>
          <w:tcPr>
            <w:tcW w:w="5246" w:type="dxa"/>
            <w:gridSpan w:val="5"/>
            <w:tcBorders>
              <w:top w:val="single" w:color="auto" w:sz="4" w:space="0"/>
              <w:left w:val="nil"/>
              <w:bottom w:val="single" w:color="auto" w:sz="4" w:space="0"/>
              <w:right w:val="single" w:color="000000" w:sz="4" w:space="0"/>
            </w:tcBorders>
            <w:shd w:val="clear" w:color="auto" w:fill="auto"/>
            <w:vAlign w:val="center"/>
          </w:tcPr>
          <w:p w14:paraId="24039B01">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完成市级电子政务外网光纤租赁费和协同办公平台运行维护费拨付，继续开展提速降费工作，保障全市协同办公平台正常运行。</w:t>
            </w:r>
          </w:p>
        </w:tc>
        <w:tc>
          <w:tcPr>
            <w:tcW w:w="4677" w:type="dxa"/>
            <w:gridSpan w:val="3"/>
            <w:tcBorders>
              <w:top w:val="single" w:color="auto" w:sz="4" w:space="0"/>
              <w:left w:val="nil"/>
              <w:bottom w:val="single" w:color="auto" w:sz="4" w:space="0"/>
              <w:right w:val="single" w:color="000000" w:sz="4" w:space="0"/>
            </w:tcBorders>
            <w:shd w:val="clear" w:color="auto" w:fill="auto"/>
            <w:vAlign w:val="center"/>
          </w:tcPr>
          <w:p w14:paraId="682E0E68">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完成市级电子政务外网光纤租赁费和协同办公平台运行维护费支出，保障全市协同办公平台正常运行，满足提速降费工作需求，完成率100%。</w:t>
            </w:r>
          </w:p>
        </w:tc>
      </w:tr>
      <w:tr w14:paraId="52BE2291">
        <w:tblPrEx>
          <w:tblCellMar>
            <w:top w:w="0" w:type="dxa"/>
            <w:left w:w="108" w:type="dxa"/>
            <w:bottom w:w="0" w:type="dxa"/>
            <w:right w:w="108" w:type="dxa"/>
          </w:tblCellMar>
        </w:tblPrEx>
        <w:trPr>
          <w:trHeight w:val="345" w:hRule="atLeast"/>
        </w:trPr>
        <w:tc>
          <w:tcPr>
            <w:tcW w:w="850" w:type="dxa"/>
            <w:vMerge w:val="restart"/>
            <w:tcBorders>
              <w:top w:val="nil"/>
              <w:left w:val="single" w:color="auto" w:sz="4" w:space="0"/>
              <w:bottom w:val="single" w:color="000000" w:sz="4" w:space="0"/>
              <w:right w:val="single" w:color="auto" w:sz="4" w:space="0"/>
            </w:tcBorders>
            <w:shd w:val="clear" w:color="auto" w:fill="auto"/>
            <w:vAlign w:val="center"/>
          </w:tcPr>
          <w:p w14:paraId="462FB498">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年度绩效指标完成情况</w:t>
            </w:r>
          </w:p>
        </w:tc>
        <w:tc>
          <w:tcPr>
            <w:tcW w:w="1135" w:type="dxa"/>
            <w:tcBorders>
              <w:top w:val="nil"/>
              <w:left w:val="nil"/>
              <w:bottom w:val="single" w:color="auto" w:sz="4" w:space="0"/>
              <w:right w:val="single" w:color="auto" w:sz="4" w:space="0"/>
            </w:tcBorders>
            <w:shd w:val="clear" w:color="auto" w:fill="auto"/>
            <w:vAlign w:val="center"/>
          </w:tcPr>
          <w:p w14:paraId="55729CD4">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461E7526">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12611D9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693" w:type="dxa"/>
            <w:tcBorders>
              <w:top w:val="nil"/>
              <w:left w:val="nil"/>
              <w:bottom w:val="single" w:color="auto" w:sz="4" w:space="0"/>
              <w:right w:val="single" w:color="auto" w:sz="4" w:space="0"/>
            </w:tcBorders>
            <w:shd w:val="clear" w:color="auto" w:fill="auto"/>
            <w:vAlign w:val="center"/>
          </w:tcPr>
          <w:p w14:paraId="771F34E3">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预期指标值</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4D8D1E6F">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实际完成指标值</w:t>
            </w:r>
          </w:p>
        </w:tc>
      </w:tr>
      <w:tr w14:paraId="709DE7C4">
        <w:tblPrEx>
          <w:tblCellMar>
            <w:top w:w="0" w:type="dxa"/>
            <w:left w:w="108" w:type="dxa"/>
            <w:bottom w:w="0" w:type="dxa"/>
            <w:right w:w="108" w:type="dxa"/>
          </w:tblCellMar>
        </w:tblPrEx>
        <w:trPr>
          <w:trHeight w:val="720" w:hRule="atLeast"/>
        </w:trPr>
        <w:tc>
          <w:tcPr>
            <w:tcW w:w="850" w:type="dxa"/>
            <w:vMerge w:val="continue"/>
            <w:tcBorders>
              <w:top w:val="nil"/>
              <w:left w:val="single" w:color="auto" w:sz="4" w:space="0"/>
              <w:bottom w:val="single" w:color="000000" w:sz="4" w:space="0"/>
              <w:right w:val="single" w:color="auto" w:sz="4" w:space="0"/>
            </w:tcBorders>
            <w:vAlign w:val="center"/>
          </w:tcPr>
          <w:p w14:paraId="6878A718">
            <w:pPr>
              <w:widowControl/>
              <w:jc w:val="left"/>
              <w:rPr>
                <w:rFonts w:ascii="宋体" w:hAnsi="宋体" w:cs="宋体"/>
                <w:color w:val="000000"/>
                <w:kern w:val="0"/>
                <w:sz w:val="20"/>
                <w:szCs w:val="20"/>
              </w:rPr>
            </w:pP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14:paraId="231934BB">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完成指标</w:t>
            </w:r>
          </w:p>
        </w:tc>
        <w:tc>
          <w:tcPr>
            <w:tcW w:w="14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02A1B20">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416B5760">
            <w:pPr>
              <w:widowControl/>
              <w:jc w:val="center"/>
              <w:rPr>
                <w:rFonts w:ascii="宋体" w:hAnsi="宋体" w:cs="宋体"/>
                <w:kern w:val="0"/>
                <w:sz w:val="20"/>
                <w:szCs w:val="20"/>
              </w:rPr>
            </w:pPr>
            <w:r>
              <w:rPr>
                <w:rFonts w:hint="eastAsia" w:ascii="宋体" w:hAnsi="宋体" w:cs="宋体"/>
                <w:kern w:val="0"/>
                <w:sz w:val="20"/>
                <w:szCs w:val="20"/>
              </w:rPr>
              <w:t>电子政务外网光纤租赁费</w:t>
            </w:r>
          </w:p>
        </w:tc>
        <w:tc>
          <w:tcPr>
            <w:tcW w:w="2693" w:type="dxa"/>
            <w:tcBorders>
              <w:top w:val="nil"/>
              <w:left w:val="nil"/>
              <w:bottom w:val="single" w:color="auto" w:sz="4" w:space="0"/>
              <w:right w:val="single" w:color="auto" w:sz="4" w:space="0"/>
            </w:tcBorders>
            <w:shd w:val="clear" w:color="auto" w:fill="auto"/>
            <w:vAlign w:val="center"/>
          </w:tcPr>
          <w:p w14:paraId="210BFB32">
            <w:pPr>
              <w:widowControl/>
              <w:jc w:val="left"/>
              <w:rPr>
                <w:rFonts w:ascii="宋体" w:hAnsi="宋体" w:cs="宋体"/>
                <w:kern w:val="0"/>
                <w:sz w:val="20"/>
                <w:szCs w:val="20"/>
              </w:rPr>
            </w:pPr>
            <w:r>
              <w:rPr>
                <w:rFonts w:hint="eastAsia" w:ascii="宋体" w:hAnsi="宋体" w:cs="宋体"/>
                <w:kern w:val="0"/>
                <w:sz w:val="20"/>
                <w:szCs w:val="20"/>
              </w:rPr>
              <w:t>为全市85家单位提供电子政务外网专用光纤的传输服务</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4E8711B2">
            <w:pPr>
              <w:widowControl/>
              <w:jc w:val="center"/>
              <w:rPr>
                <w:rFonts w:ascii="宋体" w:hAnsi="宋体" w:cs="宋体"/>
                <w:kern w:val="0"/>
                <w:sz w:val="20"/>
                <w:szCs w:val="20"/>
              </w:rPr>
            </w:pPr>
            <w:r>
              <w:rPr>
                <w:rFonts w:hint="eastAsia" w:ascii="宋体" w:hAnsi="宋体" w:cs="宋体"/>
                <w:kern w:val="0"/>
                <w:sz w:val="20"/>
                <w:szCs w:val="20"/>
              </w:rPr>
              <w:t>85家</w:t>
            </w:r>
          </w:p>
        </w:tc>
      </w:tr>
      <w:tr w14:paraId="70464C26">
        <w:tblPrEx>
          <w:tblCellMar>
            <w:top w:w="0" w:type="dxa"/>
            <w:left w:w="108" w:type="dxa"/>
            <w:bottom w:w="0" w:type="dxa"/>
            <w:right w:w="108" w:type="dxa"/>
          </w:tblCellMar>
        </w:tblPrEx>
        <w:trPr>
          <w:trHeight w:val="480" w:hRule="atLeast"/>
        </w:trPr>
        <w:tc>
          <w:tcPr>
            <w:tcW w:w="850" w:type="dxa"/>
            <w:vMerge w:val="continue"/>
            <w:tcBorders>
              <w:top w:val="nil"/>
              <w:left w:val="single" w:color="auto" w:sz="4" w:space="0"/>
              <w:bottom w:val="single" w:color="000000" w:sz="4" w:space="0"/>
              <w:right w:val="single" w:color="auto" w:sz="4" w:space="0"/>
            </w:tcBorders>
            <w:vAlign w:val="center"/>
          </w:tcPr>
          <w:p w14:paraId="7C31453E">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741C9748">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0943CEB1">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77A9DA68">
            <w:pPr>
              <w:widowControl/>
              <w:jc w:val="center"/>
              <w:rPr>
                <w:rFonts w:ascii="宋体" w:hAnsi="宋体" w:cs="宋体"/>
                <w:kern w:val="0"/>
                <w:sz w:val="20"/>
                <w:szCs w:val="20"/>
              </w:rPr>
            </w:pPr>
            <w:r>
              <w:rPr>
                <w:rFonts w:hint="eastAsia" w:ascii="宋体" w:hAnsi="宋体" w:cs="宋体"/>
                <w:kern w:val="0"/>
                <w:sz w:val="20"/>
                <w:szCs w:val="20"/>
              </w:rPr>
              <w:t>基础软硬件维护</w:t>
            </w:r>
          </w:p>
        </w:tc>
        <w:tc>
          <w:tcPr>
            <w:tcW w:w="2693" w:type="dxa"/>
            <w:tcBorders>
              <w:top w:val="nil"/>
              <w:left w:val="nil"/>
              <w:bottom w:val="single" w:color="auto" w:sz="4" w:space="0"/>
              <w:right w:val="single" w:color="auto" w:sz="4" w:space="0"/>
            </w:tcBorders>
            <w:shd w:val="clear" w:color="auto" w:fill="auto"/>
            <w:vAlign w:val="center"/>
          </w:tcPr>
          <w:p w14:paraId="6D27FF5B">
            <w:pPr>
              <w:widowControl/>
              <w:jc w:val="left"/>
              <w:rPr>
                <w:rFonts w:ascii="宋体" w:hAnsi="宋体" w:cs="宋体"/>
                <w:kern w:val="0"/>
                <w:sz w:val="20"/>
                <w:szCs w:val="20"/>
              </w:rPr>
            </w:pPr>
            <w:r>
              <w:rPr>
                <w:rFonts w:hint="eastAsia" w:ascii="宋体" w:hAnsi="宋体" w:cs="宋体"/>
                <w:kern w:val="0"/>
                <w:sz w:val="20"/>
                <w:szCs w:val="20"/>
              </w:rPr>
              <w:t>每季度不少于1次巡检，共4次。</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2B44DFF">
            <w:pPr>
              <w:widowControl/>
              <w:jc w:val="center"/>
              <w:rPr>
                <w:rFonts w:ascii="宋体" w:hAnsi="宋体" w:cs="宋体"/>
                <w:color w:val="000000"/>
                <w:kern w:val="0"/>
                <w:sz w:val="20"/>
                <w:szCs w:val="20"/>
              </w:rPr>
            </w:pPr>
            <w:r>
              <w:rPr>
                <w:rFonts w:hint="eastAsia" w:ascii="宋体" w:hAnsi="宋体" w:cs="宋体"/>
                <w:color w:val="000000"/>
                <w:kern w:val="0"/>
                <w:sz w:val="20"/>
                <w:szCs w:val="20"/>
              </w:rPr>
              <w:t>8次</w:t>
            </w:r>
          </w:p>
        </w:tc>
      </w:tr>
      <w:tr w14:paraId="71F185D3">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5AAAC89A">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4AC12B01">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53E66BA1">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498D09E0">
            <w:pPr>
              <w:widowControl/>
              <w:jc w:val="center"/>
              <w:rPr>
                <w:rFonts w:ascii="宋体" w:hAnsi="宋体" w:cs="宋体"/>
                <w:kern w:val="0"/>
                <w:sz w:val="20"/>
                <w:szCs w:val="20"/>
              </w:rPr>
            </w:pPr>
            <w:r>
              <w:rPr>
                <w:rFonts w:hint="eastAsia" w:ascii="宋体" w:hAnsi="宋体" w:cs="宋体"/>
                <w:kern w:val="0"/>
                <w:sz w:val="20"/>
                <w:szCs w:val="20"/>
              </w:rPr>
              <w:t>短信服务</w:t>
            </w:r>
          </w:p>
        </w:tc>
        <w:tc>
          <w:tcPr>
            <w:tcW w:w="2693" w:type="dxa"/>
            <w:tcBorders>
              <w:top w:val="nil"/>
              <w:left w:val="nil"/>
              <w:bottom w:val="single" w:color="auto" w:sz="4" w:space="0"/>
              <w:right w:val="single" w:color="auto" w:sz="4" w:space="0"/>
            </w:tcBorders>
            <w:shd w:val="clear" w:color="auto" w:fill="auto"/>
            <w:vAlign w:val="center"/>
          </w:tcPr>
          <w:p w14:paraId="3F7D6DB0">
            <w:pPr>
              <w:widowControl/>
              <w:jc w:val="left"/>
              <w:rPr>
                <w:rFonts w:ascii="宋体" w:hAnsi="宋体" w:cs="宋体"/>
                <w:kern w:val="0"/>
                <w:sz w:val="20"/>
                <w:szCs w:val="20"/>
              </w:rPr>
            </w:pPr>
            <w:r>
              <w:rPr>
                <w:rFonts w:hint="eastAsia" w:ascii="宋体" w:hAnsi="宋体" w:cs="宋体"/>
                <w:kern w:val="0"/>
                <w:sz w:val="20"/>
                <w:szCs w:val="20"/>
              </w:rPr>
              <w:t>不低于300万条</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5D6B09DD">
            <w:pPr>
              <w:widowControl/>
              <w:jc w:val="center"/>
              <w:rPr>
                <w:rFonts w:ascii="宋体" w:hAnsi="宋体" w:cs="宋体"/>
                <w:color w:val="000000"/>
                <w:kern w:val="0"/>
                <w:sz w:val="20"/>
                <w:szCs w:val="20"/>
              </w:rPr>
            </w:pPr>
            <w:r>
              <w:rPr>
                <w:rFonts w:hint="eastAsia" w:ascii="宋体" w:hAnsi="宋体" w:cs="宋体"/>
                <w:color w:val="000000"/>
                <w:kern w:val="0"/>
                <w:sz w:val="20"/>
                <w:szCs w:val="20"/>
              </w:rPr>
              <w:t>300万条以上</w:t>
            </w:r>
          </w:p>
        </w:tc>
      </w:tr>
      <w:tr w14:paraId="1E9CCEAF">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34CDF3B1">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1FBA1302">
            <w:pPr>
              <w:widowControl/>
              <w:jc w:val="left"/>
              <w:rPr>
                <w:rFonts w:ascii="宋体" w:hAnsi="宋体" w:cs="宋体"/>
                <w:color w:val="000000"/>
                <w:kern w:val="0"/>
                <w:sz w:val="20"/>
                <w:szCs w:val="20"/>
              </w:rPr>
            </w:pPr>
          </w:p>
        </w:tc>
        <w:tc>
          <w:tcPr>
            <w:tcW w:w="14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21006C9">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09CA1B58">
            <w:pPr>
              <w:widowControl/>
              <w:jc w:val="center"/>
              <w:rPr>
                <w:rFonts w:ascii="宋体" w:hAnsi="宋体" w:cs="宋体"/>
                <w:kern w:val="0"/>
                <w:sz w:val="20"/>
                <w:szCs w:val="20"/>
              </w:rPr>
            </w:pPr>
            <w:r>
              <w:rPr>
                <w:rFonts w:hint="eastAsia" w:ascii="宋体" w:hAnsi="宋体" w:cs="宋体"/>
                <w:kern w:val="0"/>
                <w:sz w:val="20"/>
                <w:szCs w:val="20"/>
              </w:rPr>
              <w:t>电子政务外网传输</w:t>
            </w:r>
          </w:p>
        </w:tc>
        <w:tc>
          <w:tcPr>
            <w:tcW w:w="2693" w:type="dxa"/>
            <w:tcBorders>
              <w:top w:val="nil"/>
              <w:left w:val="nil"/>
              <w:bottom w:val="single" w:color="auto" w:sz="4" w:space="0"/>
              <w:right w:val="single" w:color="auto" w:sz="4" w:space="0"/>
            </w:tcBorders>
            <w:shd w:val="clear" w:color="auto" w:fill="auto"/>
            <w:vAlign w:val="center"/>
          </w:tcPr>
          <w:p w14:paraId="1F60C67D">
            <w:pPr>
              <w:widowControl/>
              <w:jc w:val="left"/>
              <w:rPr>
                <w:rFonts w:ascii="宋体" w:hAnsi="宋体" w:cs="宋体"/>
                <w:kern w:val="0"/>
                <w:sz w:val="20"/>
                <w:szCs w:val="20"/>
              </w:rPr>
            </w:pPr>
            <w:r>
              <w:rPr>
                <w:rFonts w:hint="eastAsia" w:ascii="宋体" w:hAnsi="宋体" w:cs="宋体"/>
                <w:kern w:val="0"/>
                <w:sz w:val="20"/>
                <w:szCs w:val="20"/>
              </w:rPr>
              <w:t>保证光纤用户正常通信</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06A894FC">
            <w:pPr>
              <w:widowControl/>
              <w:jc w:val="center"/>
              <w:rPr>
                <w:rFonts w:ascii="宋体" w:hAnsi="宋体" w:cs="宋体"/>
                <w:kern w:val="0"/>
                <w:sz w:val="20"/>
                <w:szCs w:val="20"/>
              </w:rPr>
            </w:pPr>
            <w:r>
              <w:rPr>
                <w:rFonts w:hint="eastAsia" w:ascii="宋体" w:hAnsi="宋体" w:cs="宋体"/>
                <w:kern w:val="0"/>
                <w:sz w:val="20"/>
                <w:szCs w:val="20"/>
              </w:rPr>
              <w:t>已完成</w:t>
            </w:r>
          </w:p>
        </w:tc>
      </w:tr>
      <w:tr w14:paraId="69E2F5C0">
        <w:tblPrEx>
          <w:tblCellMar>
            <w:top w:w="0" w:type="dxa"/>
            <w:left w:w="108" w:type="dxa"/>
            <w:bottom w:w="0" w:type="dxa"/>
            <w:right w:w="108" w:type="dxa"/>
          </w:tblCellMar>
        </w:tblPrEx>
        <w:trPr>
          <w:trHeight w:val="960" w:hRule="atLeast"/>
        </w:trPr>
        <w:tc>
          <w:tcPr>
            <w:tcW w:w="850" w:type="dxa"/>
            <w:vMerge w:val="continue"/>
            <w:tcBorders>
              <w:top w:val="nil"/>
              <w:left w:val="single" w:color="auto" w:sz="4" w:space="0"/>
              <w:bottom w:val="single" w:color="000000" w:sz="4" w:space="0"/>
              <w:right w:val="single" w:color="auto" w:sz="4" w:space="0"/>
            </w:tcBorders>
            <w:vAlign w:val="center"/>
          </w:tcPr>
          <w:p w14:paraId="5A8C5C8E">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1B8BE461">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76050C0C">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22BECB06">
            <w:pPr>
              <w:widowControl/>
              <w:jc w:val="center"/>
              <w:rPr>
                <w:rFonts w:ascii="宋体" w:hAnsi="宋体" w:cs="宋体"/>
                <w:kern w:val="0"/>
                <w:sz w:val="20"/>
                <w:szCs w:val="20"/>
              </w:rPr>
            </w:pPr>
            <w:r>
              <w:rPr>
                <w:rFonts w:hint="eastAsia" w:ascii="宋体" w:hAnsi="宋体" w:cs="宋体"/>
                <w:kern w:val="0"/>
                <w:sz w:val="20"/>
                <w:szCs w:val="20"/>
              </w:rPr>
              <w:t>协同办公平台功能正常</w:t>
            </w:r>
          </w:p>
        </w:tc>
        <w:tc>
          <w:tcPr>
            <w:tcW w:w="2693" w:type="dxa"/>
            <w:tcBorders>
              <w:top w:val="nil"/>
              <w:left w:val="nil"/>
              <w:bottom w:val="single" w:color="auto" w:sz="4" w:space="0"/>
              <w:right w:val="single" w:color="auto" w:sz="4" w:space="0"/>
            </w:tcBorders>
            <w:shd w:val="clear" w:color="auto" w:fill="auto"/>
            <w:vAlign w:val="center"/>
          </w:tcPr>
          <w:p w14:paraId="6A8E97AA">
            <w:pPr>
              <w:widowControl/>
              <w:jc w:val="left"/>
              <w:rPr>
                <w:rFonts w:ascii="宋体" w:hAnsi="宋体" w:cs="宋体"/>
                <w:kern w:val="0"/>
                <w:sz w:val="20"/>
                <w:szCs w:val="20"/>
              </w:rPr>
            </w:pPr>
            <w:r>
              <w:rPr>
                <w:rFonts w:hint="eastAsia" w:ascii="宋体" w:hAnsi="宋体" w:cs="宋体"/>
                <w:kern w:val="0"/>
                <w:sz w:val="20"/>
                <w:szCs w:val="20"/>
              </w:rPr>
              <w:t>公文流转、会议通知、文档管理等平台功能正常运行，访问速度流程，支持异地办公、手机办公等。</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0B33A1C">
            <w:pPr>
              <w:widowControl/>
              <w:jc w:val="center"/>
              <w:rPr>
                <w:rFonts w:ascii="宋体" w:hAnsi="宋体" w:cs="宋体"/>
                <w:kern w:val="0"/>
                <w:sz w:val="20"/>
                <w:szCs w:val="20"/>
              </w:rPr>
            </w:pPr>
            <w:r>
              <w:rPr>
                <w:rFonts w:hint="eastAsia" w:ascii="宋体" w:hAnsi="宋体" w:cs="宋体"/>
                <w:kern w:val="0"/>
                <w:sz w:val="20"/>
                <w:szCs w:val="20"/>
              </w:rPr>
              <w:t>正常，已完成</w:t>
            </w:r>
          </w:p>
        </w:tc>
      </w:tr>
      <w:tr w14:paraId="7B72815B">
        <w:tblPrEx>
          <w:tblCellMar>
            <w:top w:w="0" w:type="dxa"/>
            <w:left w:w="108" w:type="dxa"/>
            <w:bottom w:w="0" w:type="dxa"/>
            <w:right w:w="108" w:type="dxa"/>
          </w:tblCellMar>
        </w:tblPrEx>
        <w:trPr>
          <w:trHeight w:val="480" w:hRule="atLeast"/>
        </w:trPr>
        <w:tc>
          <w:tcPr>
            <w:tcW w:w="850" w:type="dxa"/>
            <w:vMerge w:val="continue"/>
            <w:tcBorders>
              <w:top w:val="nil"/>
              <w:left w:val="single" w:color="auto" w:sz="4" w:space="0"/>
              <w:bottom w:val="single" w:color="000000" w:sz="4" w:space="0"/>
              <w:right w:val="single" w:color="auto" w:sz="4" w:space="0"/>
            </w:tcBorders>
            <w:vAlign w:val="center"/>
          </w:tcPr>
          <w:p w14:paraId="0E20BA77">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2FCABCDA">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5EC78F05">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144D25B2">
            <w:pPr>
              <w:widowControl/>
              <w:jc w:val="center"/>
              <w:rPr>
                <w:rFonts w:ascii="宋体" w:hAnsi="宋体" w:cs="宋体"/>
                <w:kern w:val="0"/>
                <w:sz w:val="20"/>
                <w:szCs w:val="20"/>
              </w:rPr>
            </w:pPr>
            <w:r>
              <w:rPr>
                <w:rFonts w:hint="eastAsia" w:ascii="宋体" w:hAnsi="宋体" w:cs="宋体"/>
                <w:kern w:val="0"/>
                <w:sz w:val="20"/>
                <w:szCs w:val="20"/>
              </w:rPr>
              <w:t>短信提醒服务正常</w:t>
            </w:r>
          </w:p>
        </w:tc>
        <w:tc>
          <w:tcPr>
            <w:tcW w:w="2693" w:type="dxa"/>
            <w:tcBorders>
              <w:top w:val="nil"/>
              <w:left w:val="nil"/>
              <w:bottom w:val="single" w:color="auto" w:sz="4" w:space="0"/>
              <w:right w:val="single" w:color="auto" w:sz="4" w:space="0"/>
            </w:tcBorders>
            <w:shd w:val="clear" w:color="auto" w:fill="auto"/>
            <w:vAlign w:val="center"/>
          </w:tcPr>
          <w:p w14:paraId="56B42197">
            <w:pPr>
              <w:widowControl/>
              <w:jc w:val="left"/>
              <w:rPr>
                <w:rFonts w:ascii="宋体" w:hAnsi="宋体" w:cs="宋体"/>
                <w:kern w:val="0"/>
                <w:sz w:val="20"/>
                <w:szCs w:val="20"/>
              </w:rPr>
            </w:pPr>
            <w:r>
              <w:rPr>
                <w:rFonts w:hint="eastAsia" w:ascii="宋体" w:hAnsi="宋体" w:cs="宋体"/>
                <w:kern w:val="0"/>
                <w:sz w:val="20"/>
                <w:szCs w:val="20"/>
              </w:rPr>
              <w:t>短信提醒功能正常，发送失败率5%以下。</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661D722F">
            <w:pPr>
              <w:widowControl/>
              <w:jc w:val="center"/>
              <w:rPr>
                <w:rFonts w:ascii="宋体" w:hAnsi="宋体" w:cs="宋体"/>
                <w:kern w:val="0"/>
                <w:sz w:val="20"/>
                <w:szCs w:val="20"/>
              </w:rPr>
            </w:pPr>
            <w:r>
              <w:rPr>
                <w:rFonts w:hint="eastAsia" w:ascii="宋体" w:hAnsi="宋体" w:cs="宋体"/>
                <w:kern w:val="0"/>
                <w:sz w:val="20"/>
                <w:szCs w:val="20"/>
              </w:rPr>
              <w:t>短信提醒功能正常，已完成</w:t>
            </w:r>
          </w:p>
        </w:tc>
      </w:tr>
      <w:tr w14:paraId="58CEF4E1">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76177B07">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557CBC1A">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5926C06F">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3E7D564B">
            <w:pPr>
              <w:widowControl/>
              <w:rPr>
                <w:rFonts w:ascii="宋体" w:hAnsi="宋体" w:cs="宋体"/>
                <w:color w:val="000000"/>
                <w:kern w:val="0"/>
                <w:sz w:val="20"/>
                <w:szCs w:val="20"/>
              </w:rPr>
            </w:pPr>
            <w:r>
              <w:rPr>
                <w:rFonts w:hint="eastAsia" w:ascii="宋体" w:hAnsi="宋体" w:cs="宋体"/>
                <w:color w:val="000000"/>
                <w:kern w:val="0"/>
                <w:sz w:val="20"/>
                <w:szCs w:val="20"/>
              </w:rPr>
              <w:t>互联网固定IP地址租赁费</w:t>
            </w:r>
          </w:p>
        </w:tc>
        <w:tc>
          <w:tcPr>
            <w:tcW w:w="2693" w:type="dxa"/>
            <w:tcBorders>
              <w:top w:val="nil"/>
              <w:left w:val="nil"/>
              <w:bottom w:val="single" w:color="auto" w:sz="4" w:space="0"/>
              <w:right w:val="single" w:color="auto" w:sz="4" w:space="0"/>
            </w:tcBorders>
            <w:shd w:val="clear" w:color="auto" w:fill="auto"/>
            <w:vAlign w:val="center"/>
          </w:tcPr>
          <w:p w14:paraId="4BD8DF40">
            <w:pPr>
              <w:widowControl/>
              <w:jc w:val="left"/>
              <w:rPr>
                <w:rFonts w:ascii="宋体" w:hAnsi="宋体" w:cs="宋体"/>
                <w:kern w:val="0"/>
                <w:sz w:val="20"/>
                <w:szCs w:val="20"/>
              </w:rPr>
            </w:pPr>
            <w:r>
              <w:rPr>
                <w:rFonts w:hint="eastAsia" w:ascii="宋体" w:hAnsi="宋体" w:cs="宋体"/>
                <w:kern w:val="0"/>
                <w:sz w:val="20"/>
                <w:szCs w:val="20"/>
              </w:rPr>
              <w:t>保证攀枝花市协同办公平台</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08AC195D">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2AA82644">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2936CE20">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0E4DEE7A">
            <w:pPr>
              <w:widowControl/>
              <w:jc w:val="left"/>
              <w:rPr>
                <w:rFonts w:ascii="宋体" w:hAnsi="宋体" w:cs="宋体"/>
                <w:color w:val="000000"/>
                <w:kern w:val="0"/>
                <w:sz w:val="20"/>
                <w:szCs w:val="20"/>
              </w:rPr>
            </w:pP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056FEA81">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546A8508">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2021年底前完成</w:t>
            </w:r>
          </w:p>
        </w:tc>
        <w:tc>
          <w:tcPr>
            <w:tcW w:w="2693" w:type="dxa"/>
            <w:tcBorders>
              <w:top w:val="nil"/>
              <w:left w:val="nil"/>
              <w:bottom w:val="single" w:color="auto" w:sz="4" w:space="0"/>
              <w:right w:val="single" w:color="auto" w:sz="4" w:space="0"/>
            </w:tcBorders>
            <w:shd w:val="clear" w:color="auto" w:fill="auto"/>
            <w:vAlign w:val="center"/>
          </w:tcPr>
          <w:p w14:paraId="7C47DFF9">
            <w:pPr>
              <w:widowControl/>
              <w:jc w:val="center"/>
              <w:rPr>
                <w:rFonts w:ascii="宋体" w:hAnsi="宋体" w:cs="宋体"/>
                <w:color w:val="000000"/>
                <w:kern w:val="0"/>
                <w:sz w:val="20"/>
                <w:szCs w:val="20"/>
              </w:rPr>
            </w:pPr>
            <w:r>
              <w:rPr>
                <w:rFonts w:hint="eastAsia" w:ascii="宋体" w:hAnsi="宋体" w:cs="宋体"/>
                <w:color w:val="000000"/>
                <w:kern w:val="0"/>
                <w:sz w:val="20"/>
                <w:szCs w:val="20"/>
              </w:rPr>
              <w:t>12个月</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4B75FDFC">
            <w:pPr>
              <w:widowControl/>
              <w:jc w:val="center"/>
              <w:rPr>
                <w:rFonts w:ascii="宋体" w:hAnsi="宋体" w:cs="宋体"/>
                <w:color w:val="000000"/>
                <w:kern w:val="0"/>
                <w:sz w:val="20"/>
                <w:szCs w:val="20"/>
              </w:rPr>
            </w:pPr>
            <w:r>
              <w:rPr>
                <w:rFonts w:hint="eastAsia" w:ascii="宋体" w:hAnsi="宋体" w:cs="宋体"/>
                <w:color w:val="000000"/>
                <w:kern w:val="0"/>
                <w:sz w:val="20"/>
                <w:szCs w:val="20"/>
              </w:rPr>
              <w:t>12个月</w:t>
            </w:r>
          </w:p>
        </w:tc>
      </w:tr>
      <w:tr w14:paraId="362E5331">
        <w:tblPrEx>
          <w:tblCellMar>
            <w:top w:w="0" w:type="dxa"/>
            <w:left w:w="108" w:type="dxa"/>
            <w:bottom w:w="0" w:type="dxa"/>
            <w:right w:w="108" w:type="dxa"/>
          </w:tblCellMar>
        </w:tblPrEx>
        <w:trPr>
          <w:trHeight w:val="480" w:hRule="atLeast"/>
        </w:trPr>
        <w:tc>
          <w:tcPr>
            <w:tcW w:w="850" w:type="dxa"/>
            <w:vMerge w:val="continue"/>
            <w:tcBorders>
              <w:top w:val="nil"/>
              <w:left w:val="single" w:color="auto" w:sz="4" w:space="0"/>
              <w:bottom w:val="single" w:color="000000" w:sz="4" w:space="0"/>
              <w:right w:val="single" w:color="auto" w:sz="4" w:space="0"/>
            </w:tcBorders>
            <w:vAlign w:val="center"/>
          </w:tcPr>
          <w:p w14:paraId="5EC9F01C">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6A049258">
            <w:pPr>
              <w:widowControl/>
              <w:jc w:val="left"/>
              <w:rPr>
                <w:rFonts w:ascii="宋体" w:hAnsi="宋体" w:cs="宋体"/>
                <w:color w:val="000000"/>
                <w:kern w:val="0"/>
                <w:sz w:val="20"/>
                <w:szCs w:val="20"/>
              </w:rPr>
            </w:pPr>
          </w:p>
        </w:tc>
        <w:tc>
          <w:tcPr>
            <w:tcW w:w="14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E2AEC5">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62AC7364">
            <w:pPr>
              <w:widowControl/>
              <w:jc w:val="center"/>
              <w:rPr>
                <w:rFonts w:ascii="宋体" w:hAnsi="宋体" w:cs="宋体"/>
                <w:kern w:val="0"/>
                <w:sz w:val="20"/>
                <w:szCs w:val="20"/>
              </w:rPr>
            </w:pPr>
            <w:r>
              <w:rPr>
                <w:rFonts w:hint="eastAsia" w:ascii="宋体" w:hAnsi="宋体" w:cs="宋体"/>
                <w:kern w:val="0"/>
                <w:sz w:val="20"/>
                <w:szCs w:val="20"/>
              </w:rPr>
              <w:t>电子政务外网租赁</w:t>
            </w:r>
          </w:p>
        </w:tc>
        <w:tc>
          <w:tcPr>
            <w:tcW w:w="2693" w:type="dxa"/>
            <w:tcBorders>
              <w:top w:val="nil"/>
              <w:left w:val="nil"/>
              <w:bottom w:val="single" w:color="auto" w:sz="4" w:space="0"/>
              <w:right w:val="single" w:color="auto" w:sz="4" w:space="0"/>
            </w:tcBorders>
            <w:shd w:val="clear" w:color="auto" w:fill="auto"/>
            <w:vAlign w:val="center"/>
          </w:tcPr>
          <w:p w14:paraId="1A2583FC">
            <w:pPr>
              <w:widowControl/>
              <w:jc w:val="left"/>
              <w:rPr>
                <w:rFonts w:ascii="宋体" w:hAnsi="宋体" w:cs="宋体"/>
                <w:kern w:val="0"/>
                <w:sz w:val="20"/>
                <w:szCs w:val="20"/>
              </w:rPr>
            </w:pPr>
            <w:r>
              <w:rPr>
                <w:rFonts w:hint="eastAsia" w:ascii="宋体" w:hAnsi="宋体" w:cs="宋体"/>
                <w:kern w:val="0"/>
                <w:sz w:val="20"/>
                <w:szCs w:val="20"/>
              </w:rPr>
              <w:t>2021年市级集中付费的85家单位预计支付光纤租赁费</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5B7BB877">
            <w:pPr>
              <w:widowControl/>
              <w:jc w:val="center"/>
              <w:rPr>
                <w:rFonts w:ascii="宋体" w:hAnsi="宋体" w:cs="宋体"/>
                <w:color w:val="000000"/>
                <w:kern w:val="0"/>
                <w:sz w:val="20"/>
                <w:szCs w:val="20"/>
              </w:rPr>
            </w:pPr>
            <w:r>
              <w:rPr>
                <w:rFonts w:hint="eastAsia" w:ascii="宋体" w:hAnsi="宋体" w:cs="宋体"/>
                <w:color w:val="000000"/>
                <w:kern w:val="0"/>
                <w:sz w:val="20"/>
                <w:szCs w:val="20"/>
              </w:rPr>
              <w:t>53.65万元</w:t>
            </w:r>
          </w:p>
        </w:tc>
      </w:tr>
      <w:tr w14:paraId="66C7AB0B">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22E013FC">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5D5ED820">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1F946081">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2D112336">
            <w:pPr>
              <w:widowControl/>
              <w:jc w:val="center"/>
              <w:rPr>
                <w:rFonts w:ascii="宋体" w:hAnsi="宋体" w:cs="宋体"/>
                <w:kern w:val="0"/>
                <w:sz w:val="20"/>
                <w:szCs w:val="20"/>
              </w:rPr>
            </w:pPr>
            <w:r>
              <w:rPr>
                <w:rFonts w:hint="eastAsia" w:ascii="宋体" w:hAnsi="宋体" w:cs="宋体"/>
                <w:kern w:val="0"/>
                <w:sz w:val="20"/>
                <w:szCs w:val="20"/>
              </w:rPr>
              <w:t>协同办公平台托管电费</w:t>
            </w:r>
          </w:p>
        </w:tc>
        <w:tc>
          <w:tcPr>
            <w:tcW w:w="2693" w:type="dxa"/>
            <w:tcBorders>
              <w:top w:val="nil"/>
              <w:left w:val="nil"/>
              <w:bottom w:val="single" w:color="auto" w:sz="4" w:space="0"/>
              <w:right w:val="single" w:color="auto" w:sz="4" w:space="0"/>
            </w:tcBorders>
            <w:shd w:val="clear" w:color="auto" w:fill="auto"/>
            <w:vAlign w:val="center"/>
          </w:tcPr>
          <w:p w14:paraId="6A7D6AAE">
            <w:pPr>
              <w:widowControl/>
              <w:jc w:val="left"/>
              <w:rPr>
                <w:rFonts w:ascii="宋体" w:hAnsi="宋体" w:cs="宋体"/>
                <w:kern w:val="0"/>
                <w:sz w:val="20"/>
                <w:szCs w:val="20"/>
              </w:rPr>
            </w:pPr>
            <w:r>
              <w:rPr>
                <w:rFonts w:hint="eastAsia" w:ascii="宋体" w:hAnsi="宋体" w:cs="宋体"/>
                <w:kern w:val="0"/>
                <w:sz w:val="20"/>
                <w:szCs w:val="20"/>
              </w:rPr>
              <w:t>电力保障</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29C5856">
            <w:pPr>
              <w:widowControl/>
              <w:jc w:val="center"/>
              <w:rPr>
                <w:rFonts w:ascii="宋体" w:hAnsi="宋体" w:cs="宋体"/>
                <w:color w:val="000000"/>
                <w:kern w:val="0"/>
                <w:sz w:val="20"/>
                <w:szCs w:val="20"/>
              </w:rPr>
            </w:pPr>
            <w:r>
              <w:rPr>
                <w:rFonts w:hint="eastAsia" w:ascii="宋体" w:hAnsi="宋体" w:cs="宋体"/>
                <w:color w:val="000000"/>
                <w:kern w:val="0"/>
                <w:sz w:val="20"/>
                <w:szCs w:val="20"/>
              </w:rPr>
              <w:t>19.92万元</w:t>
            </w:r>
          </w:p>
        </w:tc>
      </w:tr>
      <w:tr w14:paraId="13DB68EF">
        <w:tblPrEx>
          <w:tblCellMar>
            <w:top w:w="0" w:type="dxa"/>
            <w:left w:w="108" w:type="dxa"/>
            <w:bottom w:w="0" w:type="dxa"/>
            <w:right w:w="108" w:type="dxa"/>
          </w:tblCellMar>
        </w:tblPrEx>
        <w:trPr>
          <w:trHeight w:val="480" w:hRule="atLeast"/>
        </w:trPr>
        <w:tc>
          <w:tcPr>
            <w:tcW w:w="850" w:type="dxa"/>
            <w:vMerge w:val="continue"/>
            <w:tcBorders>
              <w:top w:val="nil"/>
              <w:left w:val="single" w:color="auto" w:sz="4" w:space="0"/>
              <w:bottom w:val="single" w:color="000000" w:sz="4" w:space="0"/>
              <w:right w:val="single" w:color="auto" w:sz="4" w:space="0"/>
            </w:tcBorders>
            <w:vAlign w:val="center"/>
          </w:tcPr>
          <w:p w14:paraId="4E799ECF">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737440F5">
            <w:pPr>
              <w:widowControl/>
              <w:jc w:val="left"/>
              <w:rPr>
                <w:rFonts w:ascii="宋体" w:hAnsi="宋体" w:cs="宋体"/>
                <w:color w:val="000000"/>
                <w:kern w:val="0"/>
                <w:sz w:val="20"/>
                <w:szCs w:val="20"/>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14:paraId="33933ACD">
            <w:pPr>
              <w:widowControl/>
              <w:jc w:val="left"/>
              <w:rPr>
                <w:rFonts w:ascii="宋体" w:hAnsi="宋体" w:cs="宋体"/>
                <w:color w:val="000000"/>
                <w:kern w:val="0"/>
                <w:sz w:val="20"/>
                <w:szCs w:val="20"/>
              </w:rPr>
            </w:pP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7045DF47">
            <w:pPr>
              <w:widowControl/>
              <w:jc w:val="center"/>
              <w:rPr>
                <w:rFonts w:ascii="宋体" w:hAnsi="宋体" w:cs="宋体"/>
                <w:kern w:val="0"/>
                <w:sz w:val="20"/>
                <w:szCs w:val="20"/>
              </w:rPr>
            </w:pPr>
            <w:r>
              <w:rPr>
                <w:rFonts w:hint="eastAsia" w:ascii="宋体" w:hAnsi="宋体" w:cs="宋体"/>
                <w:kern w:val="0"/>
                <w:sz w:val="20"/>
                <w:szCs w:val="20"/>
              </w:rPr>
              <w:t>市协同办公平台运行维护费用</w:t>
            </w:r>
          </w:p>
        </w:tc>
        <w:tc>
          <w:tcPr>
            <w:tcW w:w="2693" w:type="dxa"/>
            <w:tcBorders>
              <w:top w:val="nil"/>
              <w:left w:val="nil"/>
              <w:bottom w:val="single" w:color="auto" w:sz="4" w:space="0"/>
              <w:right w:val="single" w:color="auto" w:sz="4" w:space="0"/>
            </w:tcBorders>
            <w:shd w:val="clear" w:color="auto" w:fill="auto"/>
            <w:vAlign w:val="center"/>
          </w:tcPr>
          <w:p w14:paraId="39B8C8C1">
            <w:pPr>
              <w:widowControl/>
              <w:jc w:val="left"/>
              <w:rPr>
                <w:rFonts w:ascii="宋体" w:hAnsi="宋体" w:cs="宋体"/>
                <w:kern w:val="0"/>
                <w:sz w:val="20"/>
                <w:szCs w:val="20"/>
              </w:rPr>
            </w:pPr>
            <w:r>
              <w:rPr>
                <w:rFonts w:hint="eastAsia" w:ascii="宋体" w:hAnsi="宋体" w:cs="宋体"/>
                <w:kern w:val="0"/>
                <w:sz w:val="20"/>
                <w:szCs w:val="20"/>
              </w:rPr>
              <w:t>协同办公平台运行服务费用市级承担40%</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1D297B39">
            <w:pPr>
              <w:widowControl/>
              <w:jc w:val="center"/>
              <w:rPr>
                <w:rFonts w:ascii="宋体" w:hAnsi="宋体" w:cs="宋体"/>
                <w:color w:val="000000"/>
                <w:kern w:val="0"/>
                <w:sz w:val="20"/>
                <w:szCs w:val="20"/>
              </w:rPr>
            </w:pPr>
            <w:r>
              <w:rPr>
                <w:rFonts w:hint="eastAsia" w:ascii="宋体" w:hAnsi="宋体" w:cs="宋体"/>
                <w:color w:val="000000"/>
                <w:kern w:val="0"/>
                <w:sz w:val="20"/>
                <w:szCs w:val="20"/>
              </w:rPr>
              <w:t>10.98万元</w:t>
            </w:r>
          </w:p>
        </w:tc>
      </w:tr>
      <w:tr w14:paraId="39AFD33E">
        <w:tblPrEx>
          <w:tblCellMar>
            <w:top w:w="0" w:type="dxa"/>
            <w:left w:w="108" w:type="dxa"/>
            <w:bottom w:w="0" w:type="dxa"/>
            <w:right w:w="108" w:type="dxa"/>
          </w:tblCellMar>
        </w:tblPrEx>
        <w:trPr>
          <w:trHeight w:val="720" w:hRule="atLeast"/>
        </w:trPr>
        <w:tc>
          <w:tcPr>
            <w:tcW w:w="850" w:type="dxa"/>
            <w:vMerge w:val="continue"/>
            <w:tcBorders>
              <w:top w:val="nil"/>
              <w:left w:val="single" w:color="auto" w:sz="4" w:space="0"/>
              <w:bottom w:val="single" w:color="000000" w:sz="4" w:space="0"/>
              <w:right w:val="single" w:color="auto" w:sz="4" w:space="0"/>
            </w:tcBorders>
            <w:vAlign w:val="center"/>
          </w:tcPr>
          <w:p w14:paraId="0EE10BE2">
            <w:pPr>
              <w:widowControl/>
              <w:jc w:val="left"/>
              <w:rPr>
                <w:rFonts w:ascii="宋体" w:hAnsi="宋体" w:cs="宋体"/>
                <w:color w:val="000000"/>
                <w:kern w:val="0"/>
                <w:sz w:val="20"/>
                <w:szCs w:val="20"/>
              </w:rPr>
            </w:pP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14:paraId="18F2CA45">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17" w:type="dxa"/>
            <w:gridSpan w:val="2"/>
            <w:tcBorders>
              <w:top w:val="single" w:color="auto" w:sz="4" w:space="0"/>
              <w:left w:val="nil"/>
              <w:bottom w:val="nil"/>
              <w:right w:val="single" w:color="000000" w:sz="4" w:space="0"/>
            </w:tcBorders>
            <w:shd w:val="clear" w:color="auto" w:fill="auto"/>
            <w:vAlign w:val="center"/>
          </w:tcPr>
          <w:p w14:paraId="098E2EAE">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651254AD">
            <w:pPr>
              <w:widowControl/>
              <w:jc w:val="center"/>
              <w:rPr>
                <w:rFonts w:ascii="宋体" w:hAnsi="宋体" w:cs="宋体"/>
                <w:kern w:val="0"/>
                <w:sz w:val="20"/>
                <w:szCs w:val="20"/>
              </w:rPr>
            </w:pPr>
            <w:r>
              <w:rPr>
                <w:rFonts w:hint="eastAsia" w:ascii="宋体" w:hAnsi="宋体" w:cs="宋体"/>
                <w:kern w:val="0"/>
                <w:sz w:val="20"/>
                <w:szCs w:val="20"/>
              </w:rPr>
              <w:t>开展提速降费工作全市协同办公平台正常运行</w:t>
            </w:r>
          </w:p>
        </w:tc>
        <w:tc>
          <w:tcPr>
            <w:tcW w:w="2693" w:type="dxa"/>
            <w:tcBorders>
              <w:top w:val="nil"/>
              <w:left w:val="nil"/>
              <w:bottom w:val="single" w:color="auto" w:sz="4" w:space="0"/>
              <w:right w:val="single" w:color="auto" w:sz="4" w:space="0"/>
            </w:tcBorders>
            <w:shd w:val="clear" w:color="auto" w:fill="auto"/>
            <w:vAlign w:val="center"/>
          </w:tcPr>
          <w:p w14:paraId="4613777F">
            <w:pPr>
              <w:widowControl/>
              <w:jc w:val="left"/>
              <w:rPr>
                <w:rFonts w:ascii="宋体" w:hAnsi="宋体" w:cs="宋体"/>
                <w:kern w:val="0"/>
                <w:sz w:val="20"/>
                <w:szCs w:val="20"/>
              </w:rPr>
            </w:pPr>
            <w:r>
              <w:rPr>
                <w:rFonts w:hint="eastAsia" w:ascii="宋体" w:hAnsi="宋体" w:cs="宋体"/>
                <w:kern w:val="0"/>
                <w:sz w:val="20"/>
                <w:szCs w:val="20"/>
              </w:rPr>
              <w:t>提升全市各级党政机关和企事业单位办公效率，节约办公成本。</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4F2023BD">
            <w:pPr>
              <w:widowControl/>
              <w:jc w:val="center"/>
              <w:rPr>
                <w:rFonts w:ascii="宋体" w:hAnsi="宋体" w:cs="宋体"/>
                <w:kern w:val="0"/>
                <w:sz w:val="20"/>
                <w:szCs w:val="20"/>
              </w:rPr>
            </w:pPr>
            <w:r>
              <w:rPr>
                <w:rFonts w:hint="eastAsia" w:ascii="宋体" w:hAnsi="宋体" w:cs="宋体"/>
                <w:kern w:val="0"/>
                <w:sz w:val="20"/>
                <w:szCs w:val="20"/>
              </w:rPr>
              <w:t>已完成</w:t>
            </w:r>
          </w:p>
        </w:tc>
      </w:tr>
      <w:tr w14:paraId="5C3CD3CA">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30933AF9">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233AB0AC">
            <w:pPr>
              <w:widowControl/>
              <w:jc w:val="left"/>
              <w:rPr>
                <w:rFonts w:ascii="宋体" w:hAnsi="宋体" w:cs="宋体"/>
                <w:color w:val="000000"/>
                <w:kern w:val="0"/>
                <w:sz w:val="20"/>
                <w:szCs w:val="20"/>
              </w:rPr>
            </w:pP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369A945B">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2714F5E2">
            <w:pPr>
              <w:widowControl/>
              <w:jc w:val="center"/>
              <w:rPr>
                <w:rFonts w:ascii="宋体" w:hAnsi="宋体" w:cs="宋体"/>
                <w:color w:val="000000"/>
                <w:kern w:val="0"/>
                <w:sz w:val="20"/>
                <w:szCs w:val="20"/>
              </w:rPr>
            </w:pPr>
            <w:r>
              <w:rPr>
                <w:rFonts w:hint="eastAsia" w:ascii="宋体" w:hAnsi="宋体" w:cs="宋体"/>
                <w:color w:val="000000"/>
                <w:kern w:val="0"/>
                <w:sz w:val="20"/>
                <w:szCs w:val="20"/>
              </w:rPr>
              <w:t>保障全市党政机关办公需要</w:t>
            </w:r>
          </w:p>
        </w:tc>
        <w:tc>
          <w:tcPr>
            <w:tcW w:w="2693" w:type="dxa"/>
            <w:tcBorders>
              <w:top w:val="nil"/>
              <w:left w:val="nil"/>
              <w:bottom w:val="single" w:color="auto" w:sz="4" w:space="0"/>
              <w:right w:val="single" w:color="auto" w:sz="4" w:space="0"/>
            </w:tcBorders>
            <w:shd w:val="clear" w:color="auto" w:fill="auto"/>
            <w:vAlign w:val="center"/>
          </w:tcPr>
          <w:p w14:paraId="3A211A76">
            <w:pPr>
              <w:widowControl/>
              <w:jc w:val="left"/>
              <w:rPr>
                <w:rFonts w:ascii="宋体" w:hAnsi="宋体" w:cs="宋体"/>
                <w:kern w:val="0"/>
                <w:sz w:val="20"/>
                <w:szCs w:val="20"/>
              </w:rPr>
            </w:pPr>
            <w:r>
              <w:rPr>
                <w:rFonts w:hint="eastAsia" w:ascii="宋体" w:hAnsi="宋体" w:cs="宋体"/>
                <w:kern w:val="0"/>
                <w:sz w:val="20"/>
                <w:szCs w:val="20"/>
              </w:rPr>
              <w:t>保障全市党政机关办公需要</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114ADF5">
            <w:pPr>
              <w:widowControl/>
              <w:jc w:val="center"/>
              <w:rPr>
                <w:rFonts w:ascii="宋体" w:hAnsi="宋体" w:cs="宋体"/>
                <w:kern w:val="0"/>
                <w:sz w:val="20"/>
                <w:szCs w:val="20"/>
              </w:rPr>
            </w:pPr>
            <w:r>
              <w:rPr>
                <w:rFonts w:hint="eastAsia" w:ascii="宋体" w:hAnsi="宋体" w:cs="宋体"/>
                <w:kern w:val="0"/>
                <w:sz w:val="20"/>
                <w:szCs w:val="20"/>
              </w:rPr>
              <w:t>已完成</w:t>
            </w:r>
          </w:p>
        </w:tc>
      </w:tr>
      <w:tr w14:paraId="5ED4C621">
        <w:tblPrEx>
          <w:tblCellMar>
            <w:top w:w="0" w:type="dxa"/>
            <w:left w:w="108" w:type="dxa"/>
            <w:bottom w:w="0" w:type="dxa"/>
            <w:right w:w="108" w:type="dxa"/>
          </w:tblCellMar>
        </w:tblPrEx>
        <w:trPr>
          <w:trHeight w:val="270" w:hRule="atLeast"/>
        </w:trPr>
        <w:tc>
          <w:tcPr>
            <w:tcW w:w="850" w:type="dxa"/>
            <w:vMerge w:val="continue"/>
            <w:tcBorders>
              <w:top w:val="nil"/>
              <w:left w:val="single" w:color="auto" w:sz="4" w:space="0"/>
              <w:bottom w:val="single" w:color="000000" w:sz="4" w:space="0"/>
              <w:right w:val="single" w:color="auto" w:sz="4" w:space="0"/>
            </w:tcBorders>
            <w:vAlign w:val="center"/>
          </w:tcPr>
          <w:p w14:paraId="71464E2C">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1AD11661">
            <w:pPr>
              <w:widowControl/>
              <w:jc w:val="left"/>
              <w:rPr>
                <w:rFonts w:ascii="宋体" w:hAnsi="宋体" w:cs="宋体"/>
                <w:color w:val="000000"/>
                <w:kern w:val="0"/>
                <w:sz w:val="20"/>
                <w:szCs w:val="20"/>
              </w:rPr>
            </w:pP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49E3E954">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6EFE9708">
            <w:pPr>
              <w:widowControl/>
              <w:jc w:val="center"/>
              <w:rPr>
                <w:rFonts w:ascii="宋体" w:hAnsi="宋体" w:cs="宋体"/>
                <w:kern w:val="0"/>
                <w:sz w:val="20"/>
                <w:szCs w:val="20"/>
              </w:rPr>
            </w:pPr>
            <w:r>
              <w:rPr>
                <w:rFonts w:hint="eastAsia" w:ascii="宋体" w:hAnsi="宋体" w:cs="宋体"/>
                <w:kern w:val="0"/>
                <w:sz w:val="20"/>
                <w:szCs w:val="20"/>
              </w:rPr>
              <w:t>电子化办公节约耗材</w:t>
            </w:r>
          </w:p>
        </w:tc>
        <w:tc>
          <w:tcPr>
            <w:tcW w:w="2693" w:type="dxa"/>
            <w:tcBorders>
              <w:top w:val="nil"/>
              <w:left w:val="nil"/>
              <w:bottom w:val="single" w:color="auto" w:sz="4" w:space="0"/>
              <w:right w:val="single" w:color="auto" w:sz="4" w:space="0"/>
            </w:tcBorders>
            <w:shd w:val="clear" w:color="auto" w:fill="auto"/>
            <w:vAlign w:val="center"/>
          </w:tcPr>
          <w:p w14:paraId="5AFFE2FC">
            <w:pPr>
              <w:widowControl/>
              <w:jc w:val="left"/>
              <w:rPr>
                <w:rFonts w:ascii="宋体" w:hAnsi="宋体" w:cs="宋体"/>
                <w:kern w:val="0"/>
                <w:sz w:val="20"/>
                <w:szCs w:val="20"/>
              </w:rPr>
            </w:pPr>
            <w:r>
              <w:rPr>
                <w:rFonts w:hint="eastAsia" w:ascii="宋体" w:hAnsi="宋体" w:cs="宋体"/>
                <w:kern w:val="0"/>
                <w:sz w:val="20"/>
                <w:szCs w:val="20"/>
              </w:rPr>
              <w:t>节约成本，加快办公效率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41F21B0">
            <w:pPr>
              <w:widowControl/>
              <w:jc w:val="center"/>
              <w:rPr>
                <w:rFonts w:ascii="宋体" w:hAnsi="宋体" w:cs="宋体"/>
                <w:kern w:val="0"/>
                <w:sz w:val="20"/>
                <w:szCs w:val="20"/>
              </w:rPr>
            </w:pPr>
            <w:r>
              <w:rPr>
                <w:rFonts w:hint="eastAsia" w:ascii="宋体" w:hAnsi="宋体" w:cs="宋体"/>
                <w:kern w:val="0"/>
                <w:sz w:val="20"/>
                <w:szCs w:val="20"/>
              </w:rPr>
              <w:t>已完成</w:t>
            </w:r>
          </w:p>
        </w:tc>
      </w:tr>
      <w:tr w14:paraId="55E454C0">
        <w:tblPrEx>
          <w:tblCellMar>
            <w:top w:w="0" w:type="dxa"/>
            <w:left w:w="108" w:type="dxa"/>
            <w:bottom w:w="0" w:type="dxa"/>
            <w:right w:w="108" w:type="dxa"/>
          </w:tblCellMar>
        </w:tblPrEx>
        <w:trPr>
          <w:trHeight w:val="555" w:hRule="atLeast"/>
        </w:trPr>
        <w:tc>
          <w:tcPr>
            <w:tcW w:w="850" w:type="dxa"/>
            <w:vMerge w:val="continue"/>
            <w:tcBorders>
              <w:top w:val="nil"/>
              <w:left w:val="single" w:color="auto" w:sz="4" w:space="0"/>
              <w:bottom w:val="single" w:color="000000" w:sz="4" w:space="0"/>
              <w:right w:val="single" w:color="auto" w:sz="4" w:space="0"/>
            </w:tcBorders>
            <w:vAlign w:val="center"/>
          </w:tcPr>
          <w:p w14:paraId="22668697">
            <w:pPr>
              <w:widowControl/>
              <w:jc w:val="left"/>
              <w:rPr>
                <w:rFonts w:ascii="宋体" w:hAnsi="宋体" w:cs="宋体"/>
                <w:color w:val="000000"/>
                <w:kern w:val="0"/>
                <w:sz w:val="20"/>
                <w:szCs w:val="20"/>
              </w:rPr>
            </w:pPr>
          </w:p>
        </w:tc>
        <w:tc>
          <w:tcPr>
            <w:tcW w:w="1135" w:type="dxa"/>
            <w:vMerge w:val="continue"/>
            <w:tcBorders>
              <w:top w:val="nil"/>
              <w:left w:val="single" w:color="auto" w:sz="4" w:space="0"/>
              <w:bottom w:val="single" w:color="000000" w:sz="4" w:space="0"/>
              <w:right w:val="single" w:color="auto" w:sz="4" w:space="0"/>
            </w:tcBorders>
            <w:vAlign w:val="center"/>
          </w:tcPr>
          <w:p w14:paraId="542E6C76">
            <w:pPr>
              <w:widowControl/>
              <w:jc w:val="left"/>
              <w:rPr>
                <w:rFonts w:ascii="宋体" w:hAnsi="宋体" w:cs="宋体"/>
                <w:color w:val="000000"/>
                <w:kern w:val="0"/>
                <w:sz w:val="20"/>
                <w:szCs w:val="20"/>
              </w:rPr>
            </w:pP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4C1753C">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76B37CFB">
            <w:pPr>
              <w:widowControl/>
              <w:jc w:val="center"/>
              <w:rPr>
                <w:rFonts w:ascii="宋体" w:hAnsi="宋体" w:cs="宋体"/>
                <w:kern w:val="0"/>
                <w:sz w:val="20"/>
                <w:szCs w:val="20"/>
              </w:rPr>
            </w:pPr>
            <w:r>
              <w:rPr>
                <w:rFonts w:hint="eastAsia" w:ascii="宋体" w:hAnsi="宋体" w:cs="宋体"/>
                <w:kern w:val="0"/>
                <w:sz w:val="20"/>
                <w:szCs w:val="20"/>
              </w:rPr>
              <w:t>促进生态环境的可持续发展</w:t>
            </w:r>
          </w:p>
        </w:tc>
        <w:tc>
          <w:tcPr>
            <w:tcW w:w="2693" w:type="dxa"/>
            <w:tcBorders>
              <w:top w:val="nil"/>
              <w:left w:val="nil"/>
              <w:bottom w:val="single" w:color="auto" w:sz="4" w:space="0"/>
              <w:right w:val="single" w:color="auto" w:sz="4" w:space="0"/>
            </w:tcBorders>
            <w:shd w:val="clear" w:color="auto" w:fill="auto"/>
            <w:vAlign w:val="center"/>
          </w:tcPr>
          <w:p w14:paraId="0F107933">
            <w:pPr>
              <w:widowControl/>
              <w:jc w:val="left"/>
              <w:rPr>
                <w:rFonts w:ascii="宋体" w:hAnsi="宋体" w:cs="宋体"/>
                <w:kern w:val="0"/>
                <w:sz w:val="20"/>
                <w:szCs w:val="20"/>
              </w:rPr>
            </w:pPr>
            <w:r>
              <w:rPr>
                <w:rFonts w:hint="eastAsia" w:ascii="宋体" w:hAnsi="宋体" w:cs="宋体"/>
                <w:kern w:val="0"/>
                <w:sz w:val="20"/>
                <w:szCs w:val="20"/>
              </w:rPr>
              <w:t>电子化办公可持续发展</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156A6DDB">
            <w:pPr>
              <w:widowControl/>
              <w:jc w:val="center"/>
              <w:rPr>
                <w:rFonts w:ascii="宋体" w:hAnsi="宋体" w:cs="宋体"/>
                <w:kern w:val="0"/>
                <w:sz w:val="20"/>
                <w:szCs w:val="20"/>
              </w:rPr>
            </w:pPr>
            <w:r>
              <w:rPr>
                <w:rFonts w:hint="eastAsia" w:ascii="宋体" w:hAnsi="宋体" w:cs="宋体"/>
                <w:kern w:val="0"/>
                <w:sz w:val="20"/>
                <w:szCs w:val="20"/>
              </w:rPr>
              <w:t>已完成</w:t>
            </w:r>
          </w:p>
        </w:tc>
      </w:tr>
      <w:tr w14:paraId="0D5EA96D">
        <w:tblPrEx>
          <w:tblCellMar>
            <w:top w:w="0" w:type="dxa"/>
            <w:left w:w="108" w:type="dxa"/>
            <w:bottom w:w="0" w:type="dxa"/>
            <w:right w:w="108" w:type="dxa"/>
          </w:tblCellMar>
        </w:tblPrEx>
        <w:trPr>
          <w:trHeight w:val="480" w:hRule="atLeast"/>
        </w:trPr>
        <w:tc>
          <w:tcPr>
            <w:tcW w:w="850" w:type="dxa"/>
            <w:vMerge w:val="continue"/>
            <w:tcBorders>
              <w:top w:val="nil"/>
              <w:left w:val="single" w:color="auto" w:sz="4" w:space="0"/>
              <w:bottom w:val="single" w:color="000000" w:sz="4" w:space="0"/>
              <w:right w:val="single" w:color="auto" w:sz="4" w:space="0"/>
            </w:tcBorders>
            <w:vAlign w:val="center"/>
          </w:tcPr>
          <w:p w14:paraId="67836BD4">
            <w:pPr>
              <w:widowControl/>
              <w:jc w:val="left"/>
              <w:rPr>
                <w:rFonts w:ascii="宋体" w:hAnsi="宋体" w:cs="宋体"/>
                <w:color w:val="000000"/>
                <w:kern w:val="0"/>
                <w:sz w:val="20"/>
                <w:szCs w:val="20"/>
              </w:rPr>
            </w:pPr>
          </w:p>
        </w:tc>
        <w:tc>
          <w:tcPr>
            <w:tcW w:w="1135" w:type="dxa"/>
            <w:tcBorders>
              <w:top w:val="nil"/>
              <w:left w:val="nil"/>
              <w:bottom w:val="single" w:color="auto" w:sz="4" w:space="0"/>
              <w:right w:val="single" w:color="auto" w:sz="4" w:space="0"/>
            </w:tcBorders>
            <w:shd w:val="clear" w:color="auto" w:fill="auto"/>
            <w:vAlign w:val="center"/>
          </w:tcPr>
          <w:p w14:paraId="3923521C">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14:paraId="60260594">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2694" w:type="dxa"/>
            <w:gridSpan w:val="2"/>
            <w:tcBorders>
              <w:top w:val="single" w:color="auto" w:sz="4" w:space="0"/>
              <w:left w:val="nil"/>
              <w:bottom w:val="single" w:color="auto" w:sz="4" w:space="0"/>
              <w:right w:val="single" w:color="000000" w:sz="4" w:space="0"/>
            </w:tcBorders>
            <w:shd w:val="clear" w:color="auto" w:fill="auto"/>
            <w:vAlign w:val="center"/>
          </w:tcPr>
          <w:p w14:paraId="07924E97">
            <w:pPr>
              <w:widowControl/>
              <w:jc w:val="center"/>
              <w:rPr>
                <w:rFonts w:ascii="宋体" w:hAnsi="宋体" w:cs="宋体"/>
                <w:color w:val="000000"/>
                <w:kern w:val="0"/>
                <w:sz w:val="20"/>
                <w:szCs w:val="20"/>
              </w:rPr>
            </w:pPr>
            <w:r>
              <w:rPr>
                <w:rFonts w:hint="eastAsia" w:ascii="宋体" w:hAnsi="宋体" w:cs="宋体"/>
                <w:color w:val="000000"/>
                <w:kern w:val="0"/>
                <w:sz w:val="20"/>
                <w:szCs w:val="20"/>
              </w:rPr>
              <w:t>用户满意度基本满意以上</w:t>
            </w:r>
          </w:p>
        </w:tc>
        <w:tc>
          <w:tcPr>
            <w:tcW w:w="2693" w:type="dxa"/>
            <w:tcBorders>
              <w:top w:val="nil"/>
              <w:left w:val="nil"/>
              <w:bottom w:val="single" w:color="auto" w:sz="4" w:space="0"/>
              <w:right w:val="single" w:color="auto" w:sz="4" w:space="0"/>
            </w:tcBorders>
            <w:shd w:val="clear" w:color="auto" w:fill="auto"/>
            <w:vAlign w:val="center"/>
          </w:tcPr>
          <w:p w14:paraId="334981D2">
            <w:pPr>
              <w:widowControl/>
              <w:jc w:val="left"/>
              <w:rPr>
                <w:rFonts w:ascii="宋体" w:hAnsi="宋体" w:cs="宋体"/>
                <w:kern w:val="0"/>
                <w:sz w:val="20"/>
                <w:szCs w:val="20"/>
              </w:rPr>
            </w:pPr>
            <w:r>
              <w:rPr>
                <w:rFonts w:hint="eastAsia" w:ascii="宋体" w:hAnsi="宋体" w:cs="宋体"/>
                <w:kern w:val="0"/>
                <w:sz w:val="20"/>
                <w:szCs w:val="20"/>
              </w:rPr>
              <w:t>抽样调查达到基本满意以上</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14:paraId="38F24031">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w:t>
            </w:r>
          </w:p>
        </w:tc>
      </w:tr>
    </w:tbl>
    <w:p w14:paraId="7141F1A0">
      <w:pPr>
        <w:pStyle w:val="2"/>
        <w:spacing w:before="93"/>
      </w:pPr>
    </w:p>
    <w:p w14:paraId="7DADDDAA">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14:paraId="211E4086">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14:paraId="6656E40D">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14:paraId="6876A966">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14:paraId="0A5DE31A">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14:paraId="33D06F48">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14:paraId="6E61A870">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14:paraId="23555EA5">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14:paraId="49DA75BB">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14:paraId="3C5B8FAF">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14:paraId="4368CA94">
      <w:pPr>
        <w:pStyle w:val="4"/>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14:paraId="4F96E81A">
      <w:pPr>
        <w:pStyle w:val="4"/>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p>
    <w:p w14:paraId="4A42B5D1">
      <w:pPr>
        <w:pStyle w:val="4"/>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p>
    <w:p w14:paraId="3C9D5808">
      <w:pPr>
        <w:pStyle w:val="4"/>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p>
    <w:p w14:paraId="741CF415">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4D1EEE9">
        <w:pPr>
          <w:pStyle w:val="8"/>
          <w:jc w:val="center"/>
        </w:pPr>
        <w:r>
          <w:fldChar w:fldCharType="begin"/>
        </w:r>
        <w:r>
          <w:instrText xml:space="preserve">PAGE   \* MERGEFORMAT</w:instrText>
        </w:r>
        <w:r>
          <w:fldChar w:fldCharType="separate"/>
        </w:r>
        <w:r>
          <w:rPr>
            <w:lang w:val="zh-CN"/>
          </w:rPr>
          <w:t>14</w:t>
        </w:r>
        <w:r>
          <w:fldChar w:fldCharType="end"/>
        </w:r>
      </w:p>
    </w:sdtContent>
  </w:sdt>
  <w:p w14:paraId="28895D8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937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0D5A"/>
    <w:rsid w:val="000155DC"/>
    <w:rsid w:val="000222C6"/>
    <w:rsid w:val="0002549F"/>
    <w:rsid w:val="000468DB"/>
    <w:rsid w:val="0006487A"/>
    <w:rsid w:val="00065F8F"/>
    <w:rsid w:val="00070A43"/>
    <w:rsid w:val="000768F2"/>
    <w:rsid w:val="0009184B"/>
    <w:rsid w:val="00094236"/>
    <w:rsid w:val="000944F8"/>
    <w:rsid w:val="0009593C"/>
    <w:rsid w:val="00097322"/>
    <w:rsid w:val="000A5153"/>
    <w:rsid w:val="000A6A92"/>
    <w:rsid w:val="000B047F"/>
    <w:rsid w:val="000B5923"/>
    <w:rsid w:val="000B5A48"/>
    <w:rsid w:val="000B6FF3"/>
    <w:rsid w:val="000C3467"/>
    <w:rsid w:val="000C3CA6"/>
    <w:rsid w:val="000D1267"/>
    <w:rsid w:val="000D1D50"/>
    <w:rsid w:val="000D5782"/>
    <w:rsid w:val="000E6613"/>
    <w:rsid w:val="000E7119"/>
    <w:rsid w:val="000F7036"/>
    <w:rsid w:val="00114E9B"/>
    <w:rsid w:val="00135D4D"/>
    <w:rsid w:val="00142216"/>
    <w:rsid w:val="00144D6A"/>
    <w:rsid w:val="0014729F"/>
    <w:rsid w:val="00157BAB"/>
    <w:rsid w:val="001654D1"/>
    <w:rsid w:val="00174518"/>
    <w:rsid w:val="0018106D"/>
    <w:rsid w:val="001877A7"/>
    <w:rsid w:val="00191536"/>
    <w:rsid w:val="00196687"/>
    <w:rsid w:val="001A10AA"/>
    <w:rsid w:val="001B312F"/>
    <w:rsid w:val="001B3250"/>
    <w:rsid w:val="001C0962"/>
    <w:rsid w:val="001D7531"/>
    <w:rsid w:val="001E737D"/>
    <w:rsid w:val="001F0592"/>
    <w:rsid w:val="001F1A13"/>
    <w:rsid w:val="001F3F8E"/>
    <w:rsid w:val="001F41D6"/>
    <w:rsid w:val="001F72D3"/>
    <w:rsid w:val="001F7506"/>
    <w:rsid w:val="002006CD"/>
    <w:rsid w:val="00202B36"/>
    <w:rsid w:val="00204B7A"/>
    <w:rsid w:val="00204CDE"/>
    <w:rsid w:val="00206B84"/>
    <w:rsid w:val="0021101A"/>
    <w:rsid w:val="00211D89"/>
    <w:rsid w:val="00220536"/>
    <w:rsid w:val="00235629"/>
    <w:rsid w:val="002403AC"/>
    <w:rsid w:val="00260C38"/>
    <w:rsid w:val="002616C0"/>
    <w:rsid w:val="00265372"/>
    <w:rsid w:val="002662AA"/>
    <w:rsid w:val="00280496"/>
    <w:rsid w:val="00286EDE"/>
    <w:rsid w:val="00294DC9"/>
    <w:rsid w:val="00295495"/>
    <w:rsid w:val="002A31DE"/>
    <w:rsid w:val="002B1A0B"/>
    <w:rsid w:val="002B2613"/>
    <w:rsid w:val="002D6D05"/>
    <w:rsid w:val="002F1818"/>
    <w:rsid w:val="002F445D"/>
    <w:rsid w:val="002F567B"/>
    <w:rsid w:val="003216A9"/>
    <w:rsid w:val="00335A74"/>
    <w:rsid w:val="0036561B"/>
    <w:rsid w:val="0037013F"/>
    <w:rsid w:val="00380C92"/>
    <w:rsid w:val="003A484F"/>
    <w:rsid w:val="003A4883"/>
    <w:rsid w:val="003B0BE0"/>
    <w:rsid w:val="003B0C1B"/>
    <w:rsid w:val="003B10D8"/>
    <w:rsid w:val="003B3FCB"/>
    <w:rsid w:val="003B688C"/>
    <w:rsid w:val="003C0291"/>
    <w:rsid w:val="003C3872"/>
    <w:rsid w:val="003C39AE"/>
    <w:rsid w:val="003C7B60"/>
    <w:rsid w:val="003D0C0F"/>
    <w:rsid w:val="003D1665"/>
    <w:rsid w:val="003D1FB2"/>
    <w:rsid w:val="003D66DA"/>
    <w:rsid w:val="003E1310"/>
    <w:rsid w:val="003E6F55"/>
    <w:rsid w:val="00406254"/>
    <w:rsid w:val="004223DE"/>
    <w:rsid w:val="00422BE2"/>
    <w:rsid w:val="00434489"/>
    <w:rsid w:val="00437085"/>
    <w:rsid w:val="00443880"/>
    <w:rsid w:val="00443D55"/>
    <w:rsid w:val="004464F4"/>
    <w:rsid w:val="00471401"/>
    <w:rsid w:val="00473F31"/>
    <w:rsid w:val="0048263A"/>
    <w:rsid w:val="00483165"/>
    <w:rsid w:val="00487E5D"/>
    <w:rsid w:val="004A0086"/>
    <w:rsid w:val="004A6E7E"/>
    <w:rsid w:val="004A711F"/>
    <w:rsid w:val="004B199D"/>
    <w:rsid w:val="004B4690"/>
    <w:rsid w:val="004E0A2D"/>
    <w:rsid w:val="004E206B"/>
    <w:rsid w:val="004E340B"/>
    <w:rsid w:val="004E6DF7"/>
    <w:rsid w:val="004F0FBD"/>
    <w:rsid w:val="00505A47"/>
    <w:rsid w:val="00512FDA"/>
    <w:rsid w:val="00514AF7"/>
    <w:rsid w:val="00520DA0"/>
    <w:rsid w:val="00530E13"/>
    <w:rsid w:val="005664BB"/>
    <w:rsid w:val="00566FFA"/>
    <w:rsid w:val="0057481D"/>
    <w:rsid w:val="0058486E"/>
    <w:rsid w:val="00585B33"/>
    <w:rsid w:val="0059014D"/>
    <w:rsid w:val="00590B77"/>
    <w:rsid w:val="005A2CC2"/>
    <w:rsid w:val="005B5C64"/>
    <w:rsid w:val="005C5337"/>
    <w:rsid w:val="005C6BD0"/>
    <w:rsid w:val="005D1C8B"/>
    <w:rsid w:val="005D468D"/>
    <w:rsid w:val="005D5CED"/>
    <w:rsid w:val="005E192C"/>
    <w:rsid w:val="005F1A4C"/>
    <w:rsid w:val="005F2B4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4773"/>
    <w:rsid w:val="006C1937"/>
    <w:rsid w:val="006F020C"/>
    <w:rsid w:val="006F75EF"/>
    <w:rsid w:val="007127B7"/>
    <w:rsid w:val="00715A14"/>
    <w:rsid w:val="00715F91"/>
    <w:rsid w:val="0071798E"/>
    <w:rsid w:val="007416B6"/>
    <w:rsid w:val="00743805"/>
    <w:rsid w:val="00746F48"/>
    <w:rsid w:val="0075404D"/>
    <w:rsid w:val="0076182A"/>
    <w:rsid w:val="00767B7E"/>
    <w:rsid w:val="007770C3"/>
    <w:rsid w:val="00784D24"/>
    <w:rsid w:val="00785FBA"/>
    <w:rsid w:val="00786E4A"/>
    <w:rsid w:val="007875EB"/>
    <w:rsid w:val="0079426B"/>
    <w:rsid w:val="007A1A67"/>
    <w:rsid w:val="007C02D5"/>
    <w:rsid w:val="007C0EA6"/>
    <w:rsid w:val="007D1682"/>
    <w:rsid w:val="007D312A"/>
    <w:rsid w:val="007D3F19"/>
    <w:rsid w:val="007E23B0"/>
    <w:rsid w:val="007E23E5"/>
    <w:rsid w:val="007E60A9"/>
    <w:rsid w:val="007F1991"/>
    <w:rsid w:val="007F2C2F"/>
    <w:rsid w:val="007F55FC"/>
    <w:rsid w:val="007F5665"/>
    <w:rsid w:val="00800112"/>
    <w:rsid w:val="00806524"/>
    <w:rsid w:val="00813348"/>
    <w:rsid w:val="008253BB"/>
    <w:rsid w:val="0083706E"/>
    <w:rsid w:val="008408F6"/>
    <w:rsid w:val="008423A5"/>
    <w:rsid w:val="00850625"/>
    <w:rsid w:val="00853718"/>
    <w:rsid w:val="00855221"/>
    <w:rsid w:val="00860645"/>
    <w:rsid w:val="00871F71"/>
    <w:rsid w:val="00872FD8"/>
    <w:rsid w:val="00885AF4"/>
    <w:rsid w:val="008939CD"/>
    <w:rsid w:val="008A6329"/>
    <w:rsid w:val="008B768C"/>
    <w:rsid w:val="008C4DB1"/>
    <w:rsid w:val="008C4EAF"/>
    <w:rsid w:val="008C5176"/>
    <w:rsid w:val="008C7FD0"/>
    <w:rsid w:val="008E1DE7"/>
    <w:rsid w:val="008E707C"/>
    <w:rsid w:val="00900B08"/>
    <w:rsid w:val="00902155"/>
    <w:rsid w:val="00902FA3"/>
    <w:rsid w:val="009107B3"/>
    <w:rsid w:val="00922B15"/>
    <w:rsid w:val="00923564"/>
    <w:rsid w:val="0092392E"/>
    <w:rsid w:val="009315F9"/>
    <w:rsid w:val="00933499"/>
    <w:rsid w:val="00935C98"/>
    <w:rsid w:val="00946945"/>
    <w:rsid w:val="00947DF2"/>
    <w:rsid w:val="00951248"/>
    <w:rsid w:val="0095152F"/>
    <w:rsid w:val="00954C49"/>
    <w:rsid w:val="00955E37"/>
    <w:rsid w:val="009621F6"/>
    <w:rsid w:val="0097099F"/>
    <w:rsid w:val="00971997"/>
    <w:rsid w:val="00971FFC"/>
    <w:rsid w:val="0098660A"/>
    <w:rsid w:val="0099205E"/>
    <w:rsid w:val="009931C3"/>
    <w:rsid w:val="009B2C43"/>
    <w:rsid w:val="009B4EAE"/>
    <w:rsid w:val="009B6D6A"/>
    <w:rsid w:val="009B7573"/>
    <w:rsid w:val="009C22F4"/>
    <w:rsid w:val="009C2A4B"/>
    <w:rsid w:val="009C2E98"/>
    <w:rsid w:val="009D19C4"/>
    <w:rsid w:val="009D3447"/>
    <w:rsid w:val="009D4711"/>
    <w:rsid w:val="009E1A18"/>
    <w:rsid w:val="009F1185"/>
    <w:rsid w:val="009F18CD"/>
    <w:rsid w:val="009F2A13"/>
    <w:rsid w:val="009F3520"/>
    <w:rsid w:val="009F7527"/>
    <w:rsid w:val="00A04EB0"/>
    <w:rsid w:val="00A12184"/>
    <w:rsid w:val="00A13CC1"/>
    <w:rsid w:val="00A164AA"/>
    <w:rsid w:val="00A16847"/>
    <w:rsid w:val="00A237D8"/>
    <w:rsid w:val="00A268C4"/>
    <w:rsid w:val="00A307CD"/>
    <w:rsid w:val="00A331C8"/>
    <w:rsid w:val="00A36C48"/>
    <w:rsid w:val="00A37754"/>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0676C"/>
    <w:rsid w:val="00B10517"/>
    <w:rsid w:val="00B14E76"/>
    <w:rsid w:val="00B161B8"/>
    <w:rsid w:val="00B2048C"/>
    <w:rsid w:val="00B310B9"/>
    <w:rsid w:val="00B356AE"/>
    <w:rsid w:val="00B35F3F"/>
    <w:rsid w:val="00B36CBB"/>
    <w:rsid w:val="00B425E0"/>
    <w:rsid w:val="00B440AA"/>
    <w:rsid w:val="00B44B70"/>
    <w:rsid w:val="00B50552"/>
    <w:rsid w:val="00B53C56"/>
    <w:rsid w:val="00B54E20"/>
    <w:rsid w:val="00B57DAF"/>
    <w:rsid w:val="00B77EA6"/>
    <w:rsid w:val="00B81598"/>
    <w:rsid w:val="00B8259B"/>
    <w:rsid w:val="00B841F1"/>
    <w:rsid w:val="00B944D6"/>
    <w:rsid w:val="00BB031A"/>
    <w:rsid w:val="00BB4DF0"/>
    <w:rsid w:val="00BC289F"/>
    <w:rsid w:val="00BC2D50"/>
    <w:rsid w:val="00BC5361"/>
    <w:rsid w:val="00BC5460"/>
    <w:rsid w:val="00BC6B50"/>
    <w:rsid w:val="00BD0E25"/>
    <w:rsid w:val="00BE1CF3"/>
    <w:rsid w:val="00BF5BD6"/>
    <w:rsid w:val="00C03E31"/>
    <w:rsid w:val="00C2425A"/>
    <w:rsid w:val="00C33E72"/>
    <w:rsid w:val="00C354B2"/>
    <w:rsid w:val="00C35554"/>
    <w:rsid w:val="00C42709"/>
    <w:rsid w:val="00C533CC"/>
    <w:rsid w:val="00C5751C"/>
    <w:rsid w:val="00C61BFC"/>
    <w:rsid w:val="00C62B85"/>
    <w:rsid w:val="00C65438"/>
    <w:rsid w:val="00C84FEC"/>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6DD"/>
    <w:rsid w:val="00D34E7C"/>
    <w:rsid w:val="00D35489"/>
    <w:rsid w:val="00D36AFE"/>
    <w:rsid w:val="00D45892"/>
    <w:rsid w:val="00D51276"/>
    <w:rsid w:val="00D7035F"/>
    <w:rsid w:val="00D802B8"/>
    <w:rsid w:val="00DA634F"/>
    <w:rsid w:val="00DA65AC"/>
    <w:rsid w:val="00DB1913"/>
    <w:rsid w:val="00DC410D"/>
    <w:rsid w:val="00DC5A81"/>
    <w:rsid w:val="00DC68CA"/>
    <w:rsid w:val="00DC7CBA"/>
    <w:rsid w:val="00DD73B7"/>
    <w:rsid w:val="00DF28BC"/>
    <w:rsid w:val="00DF34B9"/>
    <w:rsid w:val="00DF3839"/>
    <w:rsid w:val="00E01053"/>
    <w:rsid w:val="00E07ACF"/>
    <w:rsid w:val="00E331A1"/>
    <w:rsid w:val="00E33202"/>
    <w:rsid w:val="00E336A9"/>
    <w:rsid w:val="00E36652"/>
    <w:rsid w:val="00E472B1"/>
    <w:rsid w:val="00E47EB1"/>
    <w:rsid w:val="00E50624"/>
    <w:rsid w:val="00E568DF"/>
    <w:rsid w:val="00E64269"/>
    <w:rsid w:val="00E82267"/>
    <w:rsid w:val="00E853CE"/>
    <w:rsid w:val="00E867B6"/>
    <w:rsid w:val="00EA010F"/>
    <w:rsid w:val="00ED1B63"/>
    <w:rsid w:val="00ED3C1F"/>
    <w:rsid w:val="00ED4085"/>
    <w:rsid w:val="00ED420E"/>
    <w:rsid w:val="00ED6220"/>
    <w:rsid w:val="00ED6FBE"/>
    <w:rsid w:val="00EE2F57"/>
    <w:rsid w:val="00EF4C34"/>
    <w:rsid w:val="00EF77C6"/>
    <w:rsid w:val="00F05438"/>
    <w:rsid w:val="00F06D89"/>
    <w:rsid w:val="00F13104"/>
    <w:rsid w:val="00F1361C"/>
    <w:rsid w:val="00F156F0"/>
    <w:rsid w:val="00F160C7"/>
    <w:rsid w:val="00F2408F"/>
    <w:rsid w:val="00F240E9"/>
    <w:rsid w:val="00F36D8F"/>
    <w:rsid w:val="00F417B1"/>
    <w:rsid w:val="00F45853"/>
    <w:rsid w:val="00F602DF"/>
    <w:rsid w:val="00F61422"/>
    <w:rsid w:val="00F754A1"/>
    <w:rsid w:val="00F81FD9"/>
    <w:rsid w:val="00F841AA"/>
    <w:rsid w:val="00F84A94"/>
    <w:rsid w:val="00F87E96"/>
    <w:rsid w:val="00FA23E8"/>
    <w:rsid w:val="00FD3CC1"/>
    <w:rsid w:val="00FE7BCD"/>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3276E"/>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4037;&#20316;\2-1&#20915;&#31639;&#20844;&#24320;2021\1.&#20915;&#31639;&#20844;&#24320;&#34920;\&#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a:t>
            </a:r>
            <a:endParaRPr lang="zh-CN"/>
          </a:p>
        </c:rich>
      </c:tx>
      <c:layout/>
      <c:overlay val="0"/>
    </c:title>
    <c:autoTitleDeleted val="0"/>
    <c:plotArea>
      <c:layout/>
      <c:barChart>
        <c:barDir val="col"/>
        <c:grouping val="clustered"/>
        <c:varyColors val="0"/>
        <c:ser>
          <c:idx val="0"/>
          <c:order val="0"/>
          <c:spPr>
            <a:solidFill>
              <a:schemeClr val="tx2">
                <a:lumMod val="75000"/>
              </a:schemeClr>
            </a:solidFill>
          </c:spPr>
          <c:invertIfNegative val="0"/>
          <c:dLbls>
            <c:delete val="1"/>
          </c:dLbls>
          <c:cat>
            <c:strRef>
              <c:f>本级!$B$6:$B$7</c:f>
              <c:strCache>
                <c:ptCount val="2"/>
                <c:pt idx="0">
                  <c:v>2020年</c:v>
                </c:pt>
                <c:pt idx="1">
                  <c:v>2021年</c:v>
                </c:pt>
              </c:strCache>
            </c:strRef>
          </c:cat>
          <c:val>
            <c:numRef>
              <c:f>本级!$C$6:$C$7</c:f>
              <c:numCache>
                <c:formatCode>General</c:formatCode>
                <c:ptCount val="2"/>
                <c:pt idx="0">
                  <c:v>3703.23</c:v>
                </c:pt>
                <c:pt idx="1">
                  <c:v>2597.09</c:v>
                </c:pt>
              </c:numCache>
            </c:numRef>
          </c:val>
        </c:ser>
        <c:dLbls>
          <c:showLegendKey val="0"/>
          <c:showVal val="0"/>
          <c:showCatName val="0"/>
          <c:showSerName val="0"/>
          <c:showPercent val="0"/>
          <c:showBubbleSize val="0"/>
        </c:dLbls>
        <c:gapWidth val="75"/>
        <c:overlap val="-25"/>
        <c:axId val="332924416"/>
        <c:axId val="332925952"/>
      </c:barChart>
      <c:catAx>
        <c:axId val="3329244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2925952"/>
        <c:crosses val="autoZero"/>
        <c:auto val="1"/>
        <c:lblAlgn val="ctr"/>
        <c:lblOffset val="100"/>
        <c:noMultiLvlLbl val="0"/>
      </c:catAx>
      <c:valAx>
        <c:axId val="3329259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2924416"/>
        <c:crosses val="autoZero"/>
        <c:crossBetween val="between"/>
      </c:valAx>
    </c:plotArea>
    <c:plotVisOnly val="1"/>
    <c:dispBlanksAs val="gap"/>
    <c:showDLblsOverMax val="0"/>
    <c:extLst>
      <c:ext uri="{0b15fc19-7d7d-44ad-8c2d-2c3a37ce22c3}">
        <chartProps xmlns="https://web.wps.cn/et/2018/main" chartId="{7e4c84d1-f7ea-4110-84b8-1ce8aa98234d}"/>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Lbl>
              <c:idx val="0"/>
              <c:layout>
                <c:manualLayout>
                  <c:x val="0.0368370516185477"/>
                  <c:y val="-0.20391185476815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
</a:t>
                    </a:r>
                    <a:r>
                      <a:rPr lang="en-US" altLang="zh-CN"/>
                      <a:t>99.52%</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3744105424322"/>
                  <c:y val="0.12847222222222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政府性基金预算财政拨款收入
</a:t>
                    </a:r>
                    <a:r>
                      <a:rPr lang="en-US" altLang="zh-CN"/>
                      <a:t>0.47%</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47992344706912"/>
                  <c:y val="0.045616068824730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0.01%</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本级!$H$2:$H$4</c:f>
              <c:strCache>
                <c:ptCount val="3"/>
                <c:pt idx="0">
                  <c:v>一般公共预算财政拨款收入</c:v>
                </c:pt>
                <c:pt idx="1">
                  <c:v>政府性基金预算财政拨款收入</c:v>
                </c:pt>
                <c:pt idx="2">
                  <c:v>其他收入</c:v>
                </c:pt>
              </c:strCache>
            </c:strRef>
          </c:cat>
          <c:val>
            <c:numRef>
              <c:f>本级!$I$2:$I$4</c:f>
              <c:numCache>
                <c:formatCode>General</c:formatCode>
                <c:ptCount val="3"/>
                <c:pt idx="0">
                  <c:v>2106.81</c:v>
                </c:pt>
                <c:pt idx="1">
                  <c:v>10</c:v>
                </c:pt>
                <c:pt idx="2">
                  <c:v>0.13</c:v>
                </c:pt>
              </c:numCache>
            </c:numRef>
          </c:val>
        </c:ser>
        <c:ser>
          <c:idx val="1"/>
          <c:order val="1"/>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本级!$H$2:$H$4</c:f>
              <c:strCache>
                <c:ptCount val="3"/>
                <c:pt idx="0">
                  <c:v>一般公共预算财政拨款收入</c:v>
                </c:pt>
                <c:pt idx="1">
                  <c:v>政府性基金预算财政拨款收入</c:v>
                </c:pt>
                <c:pt idx="2">
                  <c:v>其他收入</c:v>
                </c:pt>
              </c:strCache>
            </c:strRef>
          </c:cat>
          <c:val>
            <c:numRef>
              <c:f>本级!$J$2:$J$4</c:f>
              <c:numCache>
                <c:formatCode>0.00%</c:formatCode>
                <c:ptCount val="3"/>
                <c:pt idx="0">
                  <c:v>0.995214791160826</c:v>
                </c:pt>
                <c:pt idx="1">
                  <c:v>0.00472379944637071</c:v>
                </c:pt>
                <c:pt idx="2">
                  <c:v>6.14093928028192e-5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extLst>
      <c:ext uri="{0b15fc19-7d7d-44ad-8c2d-2c3a37ce22c3}">
        <chartProps xmlns="https://web.wps.cn/et/2018/main" chartId="{7b7f1705-895c-49dd-9be1-c1f3642b2cdd}"/>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本级!$B$14:$C$14</c:f>
              <c:strCache>
                <c:ptCount val="2"/>
                <c:pt idx="0">
                  <c:v>项目支出</c:v>
                </c:pt>
                <c:pt idx="1">
                  <c:v>基本支出</c:v>
                </c:pt>
              </c:strCache>
            </c:strRef>
          </c:cat>
          <c:val>
            <c:numRef>
              <c:f>本级!$B$15:$C$15</c:f>
              <c:numCache>
                <c:formatCode>General</c:formatCode>
                <c:ptCount val="2"/>
                <c:pt idx="0">
                  <c:v>209.91</c:v>
                </c:pt>
                <c:pt idx="1">
                  <c:v>1949.52</c:v>
                </c:pt>
              </c:numCache>
            </c:numRef>
          </c:val>
        </c:ser>
        <c:ser>
          <c:idx val="1"/>
          <c:order val="1"/>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本级!$B$14:$C$14</c:f>
              <c:strCache>
                <c:ptCount val="2"/>
                <c:pt idx="0">
                  <c:v>项目支出</c:v>
                </c:pt>
                <c:pt idx="1">
                  <c:v>基本支出</c:v>
                </c:pt>
              </c:strCache>
            </c:strRef>
          </c:cat>
          <c:val>
            <c:numRef>
              <c:f>本级!$B$16:$C$16</c:f>
              <c:numCache>
                <c:formatCode>0.00%</c:formatCode>
                <c:ptCount val="2"/>
                <c:pt idx="0">
                  <c:v>0.097206207193565</c:v>
                </c:pt>
                <c:pt idx="1">
                  <c:v>0.902793792806435</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c3d942b-f830-409e-b9e8-2de57562ffd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a:t>
            </a:r>
            <a:endParaRPr lang="zh-CN" altLang="en-US"/>
          </a:p>
        </c:rich>
      </c:tx>
      <c:layout>
        <c:manualLayout>
          <c:xMode val="edge"/>
          <c:yMode val="edge"/>
          <c:x val="0.421833333333333"/>
          <c:y val="0.0324074074074074"/>
        </c:manualLayout>
      </c:layout>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60000"/>
                  <a:lumOff val="40000"/>
                </a:schemeClr>
              </a:solidFill>
            </c:spPr>
          </c:dPt>
          <c:dLbls>
            <c:delete val="1"/>
          </c:dLbls>
          <c:cat>
            <c:strRef>
              <c:f>本级!$E$6:$E$7</c:f>
              <c:strCache>
                <c:ptCount val="2"/>
                <c:pt idx="0">
                  <c:v>2020年</c:v>
                </c:pt>
                <c:pt idx="1">
                  <c:v>2021年</c:v>
                </c:pt>
              </c:strCache>
            </c:strRef>
          </c:cat>
          <c:val>
            <c:numRef>
              <c:f>本级!$F$6:$F$7</c:f>
              <c:numCache>
                <c:formatCode>General</c:formatCode>
                <c:ptCount val="2"/>
                <c:pt idx="0">
                  <c:v>4312.43</c:v>
                </c:pt>
                <c:pt idx="1">
                  <c:v>2596.52</c:v>
                </c:pt>
              </c:numCache>
            </c:numRef>
          </c:val>
        </c:ser>
        <c:dLbls>
          <c:showLegendKey val="0"/>
          <c:showVal val="0"/>
          <c:showCatName val="0"/>
          <c:showSerName val="0"/>
          <c:showPercent val="0"/>
          <c:showBubbleSize val="0"/>
        </c:dLbls>
        <c:gapWidth val="75"/>
        <c:overlap val="-25"/>
        <c:axId val="306549120"/>
        <c:axId val="306550656"/>
      </c:barChart>
      <c:catAx>
        <c:axId val="3065491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6550656"/>
        <c:crosses val="autoZero"/>
        <c:auto val="1"/>
        <c:lblAlgn val="ctr"/>
        <c:lblOffset val="100"/>
        <c:noMultiLvlLbl val="0"/>
      </c:catAx>
      <c:valAx>
        <c:axId val="306550656"/>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6549120"/>
        <c:crosses val="autoZero"/>
        <c:crossBetween val="between"/>
      </c:valAx>
    </c:plotArea>
    <c:plotVisOnly val="1"/>
    <c:dispBlanksAs val="gap"/>
    <c:showDLblsOverMax val="0"/>
    <c:extLst>
      <c:ext uri="{0b15fc19-7d7d-44ad-8c2d-2c3a37ce22c3}">
        <chartProps xmlns="https://web.wps.cn/et/2018/main" chartId="{3efcaf50-15d7-4ed3-b9fe-c30bb10cbfd2}"/>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一般公共预算支出</a:t>
            </a:r>
            <a:endParaRPr lang="zh-CN"/>
          </a:p>
        </c:rich>
      </c:tx>
      <c:layout/>
      <c:overlay val="0"/>
    </c:title>
    <c:autoTitleDeleted val="0"/>
    <c:plotArea>
      <c:layout/>
      <c:barChart>
        <c:barDir val="col"/>
        <c:grouping val="clustered"/>
        <c:varyColors val="0"/>
        <c:ser>
          <c:idx val="0"/>
          <c:order val="0"/>
          <c:invertIfNegative val="0"/>
          <c:dPt>
            <c:idx val="1"/>
            <c:invertIfNegative val="0"/>
            <c:bubble3D val="0"/>
            <c:spPr>
              <a:solidFill>
                <a:schemeClr val="accent1">
                  <a:lumMod val="75000"/>
                </a:schemeClr>
              </a:solidFill>
            </c:spPr>
          </c:dPt>
          <c:dLbls>
            <c:delete val="1"/>
          </c:dLbls>
          <c:cat>
            <c:strRef>
              <c:f>本级!$B$24:$B$25</c:f>
              <c:strCache>
                <c:ptCount val="2"/>
                <c:pt idx="0">
                  <c:v>2020年</c:v>
                </c:pt>
                <c:pt idx="1">
                  <c:v>2021年</c:v>
                </c:pt>
              </c:strCache>
            </c:strRef>
          </c:cat>
          <c:val>
            <c:numRef>
              <c:f>本级!$C$24:$C$25</c:f>
              <c:numCache>
                <c:formatCode>#,##0.00</c:formatCode>
                <c:ptCount val="2"/>
                <c:pt idx="0">
                  <c:v>3073.81</c:v>
                </c:pt>
                <c:pt idx="1">
                  <c:v>2145.73</c:v>
                </c:pt>
              </c:numCache>
            </c:numRef>
          </c:val>
        </c:ser>
        <c:dLbls>
          <c:showLegendKey val="0"/>
          <c:showVal val="0"/>
          <c:showCatName val="0"/>
          <c:showSerName val="0"/>
          <c:showPercent val="0"/>
          <c:showBubbleSize val="0"/>
        </c:dLbls>
        <c:gapWidth val="75"/>
        <c:axId val="306710784"/>
        <c:axId val="306716672"/>
      </c:barChart>
      <c:catAx>
        <c:axId val="3067107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6716672"/>
        <c:crosses val="autoZero"/>
        <c:auto val="1"/>
        <c:lblAlgn val="ctr"/>
        <c:lblOffset val="100"/>
        <c:noMultiLvlLbl val="0"/>
      </c:catAx>
      <c:valAx>
        <c:axId val="306716672"/>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671078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186b432b-5335-463e-a681-2bf0bc6239e7}"/>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633707349081365"/>
          <c:y val="0.104166666666667"/>
          <c:w val="0.570523840769904"/>
          <c:h val="0.856481481481482"/>
        </c:manualLayout>
      </c:layout>
      <c:pie3D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本级!$B$27:$B$31</c:f>
              <c:strCache>
                <c:ptCount val="5"/>
                <c:pt idx="0">
                  <c:v>一般公共服务支出</c:v>
                </c:pt>
                <c:pt idx="1">
                  <c:v>科学技术支出</c:v>
                </c:pt>
                <c:pt idx="2">
                  <c:v>社会保障和就业支出</c:v>
                </c:pt>
                <c:pt idx="3">
                  <c:v>资源勘探工业信息等支出</c:v>
                </c:pt>
                <c:pt idx="4">
                  <c:v>住房保障支出</c:v>
                </c:pt>
              </c:strCache>
            </c:strRef>
          </c:cat>
          <c:val>
            <c:numRef>
              <c:f>本级!$C$27:$C$31</c:f>
              <c:numCache>
                <c:formatCode>#,##0.00</c:formatCode>
                <c:ptCount val="5"/>
                <c:pt idx="0">
                  <c:v>1412.5</c:v>
                </c:pt>
                <c:pt idx="1">
                  <c:v>84.55</c:v>
                </c:pt>
                <c:pt idx="2">
                  <c:v>492.51</c:v>
                </c:pt>
                <c:pt idx="3">
                  <c:v>47</c:v>
                </c:pt>
                <c:pt idx="4">
                  <c:v>109.17</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4eae918-3e5f-49c7-806e-5839be0d602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Lbl>
              <c:idx val="0"/>
              <c:layout>
                <c:manualLayout>
                  <c:x val="-0.305786920379036"/>
                  <c:y val="0.2768254747233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4.77</c:v>
                </c:pt>
                <c:pt idx="2">
                  <c:v>1.23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extLst>
      <c:ext uri="{0b15fc19-7d7d-44ad-8c2d-2c3a37ce22c3}">
        <chartProps xmlns="https://web.wps.cn/et/2018/main" chartId="{79e6b01c-8e4d-492e-876a-51b850115237}"/>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DCBA9-90B6-4EEE-BF6E-6E539FF95105}">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7109</Words>
  <Characters>7789</Characters>
  <Lines>69</Lines>
  <Paragraphs>19</Paragraphs>
  <TotalTime>1275</TotalTime>
  <ScaleCrop>false</ScaleCrop>
  <LinksUpToDate>false</LinksUpToDate>
  <CharactersWithSpaces>7871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2025-02-11T01:59:14Z</dcterms:modified>
  <dc:title>四川省***</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eyJoZGlkIjoiZDgzM2VjYjRiOGNlZjhiMzNhMGRlYTk5YTU3MTk1Y2EifQ==</vt:lpwstr>
  </property>
  <property fmtid="{D5CDD505-2E9C-101B-9397-08002B2CF9AE}" pid="4" name="ICV">
    <vt:lpwstr>7ACC7EE7BBB741898CE11B5AA882D1E0_12</vt:lpwstr>
  </property>
</Properties>
</file>