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0DECD">
      <w:pPr>
        <w:spacing w:line="600" w:lineRule="exact"/>
        <w:jc w:val="center"/>
        <w:outlineLvl w:val="0"/>
        <w:rPr>
          <w:rFonts w:hint="eastAsia" w:eastAsia="方正小标宋简体"/>
          <w:sz w:val="72"/>
          <w:szCs w:val="72"/>
        </w:rPr>
      </w:pPr>
      <w:bookmarkStart w:id="0" w:name="_Toc15377193"/>
      <w:bookmarkStart w:id="1" w:name="_Toc15396597"/>
      <w:bookmarkStart w:id="2" w:name="_Toc15377425"/>
      <w:bookmarkStart w:id="3" w:name="_Toc15378441"/>
      <w:bookmarkStart w:id="4" w:name="_Toc15396475"/>
      <w:bookmarkStart w:id="5" w:name="_Toc15306267"/>
    </w:p>
    <w:p w14:paraId="2C36EFB2">
      <w:pPr>
        <w:spacing w:line="600" w:lineRule="exact"/>
        <w:jc w:val="center"/>
        <w:outlineLvl w:val="0"/>
        <w:rPr>
          <w:rFonts w:eastAsia="方正小标宋简体"/>
          <w:sz w:val="72"/>
          <w:szCs w:val="72"/>
        </w:rPr>
      </w:pPr>
    </w:p>
    <w:p w14:paraId="10B14C55">
      <w:pPr>
        <w:spacing w:line="600" w:lineRule="exact"/>
        <w:jc w:val="center"/>
        <w:outlineLvl w:val="0"/>
        <w:rPr>
          <w:rFonts w:eastAsia="方正小标宋简体"/>
          <w:sz w:val="72"/>
          <w:szCs w:val="72"/>
        </w:rPr>
      </w:pPr>
    </w:p>
    <w:p w14:paraId="413F5D54">
      <w:pPr>
        <w:spacing w:line="600" w:lineRule="exact"/>
        <w:jc w:val="center"/>
        <w:outlineLvl w:val="0"/>
        <w:rPr>
          <w:rFonts w:eastAsia="方正小标宋简体"/>
          <w:sz w:val="72"/>
          <w:szCs w:val="72"/>
        </w:rPr>
      </w:pPr>
    </w:p>
    <w:p w14:paraId="338EAB03">
      <w:pPr>
        <w:adjustRightInd w:val="0"/>
        <w:snapToGrid w:val="0"/>
        <w:spacing w:line="360" w:lineRule="auto"/>
        <w:jc w:val="center"/>
        <w:outlineLvl w:val="0"/>
        <w:rPr>
          <w:rFonts w:eastAsia="方正小标宋简体"/>
          <w:sz w:val="72"/>
          <w:szCs w:val="72"/>
        </w:rPr>
      </w:pPr>
      <w:r>
        <w:rPr>
          <w:rFonts w:eastAsia="方正小标宋简体"/>
          <w:sz w:val="72"/>
          <w:szCs w:val="72"/>
        </w:rPr>
        <w:t>2021年度</w:t>
      </w:r>
      <w:bookmarkEnd w:id="0"/>
      <w:bookmarkEnd w:id="1"/>
      <w:bookmarkEnd w:id="2"/>
      <w:bookmarkEnd w:id="3"/>
      <w:bookmarkEnd w:id="4"/>
      <w:bookmarkStart w:id="6" w:name="_Toc15377426"/>
      <w:bookmarkStart w:id="7" w:name="_Toc15396598"/>
      <w:bookmarkStart w:id="8" w:name="_Toc15378442"/>
      <w:bookmarkStart w:id="9" w:name="_Toc15396476"/>
      <w:bookmarkStart w:id="10" w:name="_Toc15377194"/>
      <w:r>
        <w:rPr>
          <w:rFonts w:eastAsia="方正小标宋简体"/>
          <w:sz w:val="72"/>
          <w:szCs w:val="72"/>
        </w:rPr>
        <w:t>四川省</w:t>
      </w:r>
      <w:bookmarkEnd w:id="5"/>
      <w:bookmarkStart w:id="11" w:name="_Toc15306268"/>
      <w:r>
        <w:rPr>
          <w:rFonts w:eastAsia="方正小标宋简体"/>
          <w:sz w:val="72"/>
          <w:szCs w:val="72"/>
        </w:rPr>
        <w:t>攀枝花市经济和信息化局部门决算</w:t>
      </w:r>
      <w:bookmarkEnd w:id="6"/>
      <w:bookmarkEnd w:id="7"/>
      <w:bookmarkEnd w:id="8"/>
      <w:bookmarkEnd w:id="9"/>
      <w:bookmarkEnd w:id="10"/>
      <w:bookmarkEnd w:id="11"/>
    </w:p>
    <w:p w14:paraId="351D8843">
      <w:pPr>
        <w:widowControl/>
        <w:jc w:val="center"/>
        <w:rPr>
          <w:rFonts w:eastAsia="黑体"/>
          <w:sz w:val="48"/>
          <w:szCs w:val="48"/>
        </w:rPr>
      </w:pPr>
    </w:p>
    <w:p w14:paraId="4EDA67D8">
      <w:pPr>
        <w:widowControl/>
        <w:jc w:val="center"/>
        <w:rPr>
          <w:rFonts w:eastAsia="黑体"/>
          <w:sz w:val="48"/>
          <w:szCs w:val="48"/>
        </w:rPr>
      </w:pPr>
    </w:p>
    <w:p w14:paraId="70980D6B">
      <w:pPr>
        <w:widowControl/>
        <w:jc w:val="center"/>
        <w:rPr>
          <w:rFonts w:eastAsia="黑体"/>
          <w:sz w:val="48"/>
          <w:szCs w:val="48"/>
        </w:rPr>
      </w:pPr>
    </w:p>
    <w:p w14:paraId="797CD8C2">
      <w:pPr>
        <w:widowControl/>
        <w:jc w:val="center"/>
        <w:rPr>
          <w:rFonts w:eastAsia="黑体"/>
          <w:sz w:val="48"/>
          <w:szCs w:val="48"/>
        </w:rPr>
      </w:pPr>
    </w:p>
    <w:p w14:paraId="2DD5D8E4">
      <w:pPr>
        <w:widowControl/>
        <w:jc w:val="center"/>
        <w:rPr>
          <w:rFonts w:eastAsia="黑体"/>
          <w:sz w:val="48"/>
          <w:szCs w:val="48"/>
        </w:rPr>
      </w:pPr>
    </w:p>
    <w:p w14:paraId="28B0D383">
      <w:pPr>
        <w:widowControl/>
        <w:jc w:val="center"/>
        <w:rPr>
          <w:rFonts w:eastAsia="黑体"/>
          <w:sz w:val="48"/>
          <w:szCs w:val="48"/>
        </w:rPr>
      </w:pPr>
    </w:p>
    <w:p w14:paraId="18B28717">
      <w:pPr>
        <w:widowControl/>
        <w:jc w:val="center"/>
        <w:rPr>
          <w:rFonts w:eastAsia="黑体"/>
          <w:sz w:val="48"/>
          <w:szCs w:val="48"/>
        </w:rPr>
      </w:pPr>
    </w:p>
    <w:p w14:paraId="1C5120C4">
      <w:pPr>
        <w:widowControl/>
        <w:jc w:val="center"/>
        <w:rPr>
          <w:rFonts w:eastAsia="黑体"/>
          <w:sz w:val="48"/>
          <w:szCs w:val="48"/>
        </w:rPr>
      </w:pPr>
    </w:p>
    <w:p w14:paraId="2D36E630">
      <w:pPr>
        <w:widowControl/>
        <w:jc w:val="center"/>
        <w:rPr>
          <w:rFonts w:eastAsia="黑体"/>
          <w:sz w:val="48"/>
          <w:szCs w:val="48"/>
        </w:rPr>
      </w:pPr>
    </w:p>
    <w:p w14:paraId="621FFE86">
      <w:pPr>
        <w:widowControl/>
        <w:jc w:val="center"/>
        <w:rPr>
          <w:rFonts w:eastAsia="黑体"/>
          <w:sz w:val="48"/>
          <w:szCs w:val="48"/>
        </w:rPr>
      </w:pPr>
    </w:p>
    <w:p w14:paraId="0D5CB2D7">
      <w:pPr>
        <w:widowControl/>
        <w:jc w:val="center"/>
        <w:rPr>
          <w:rFonts w:eastAsia="黑体"/>
          <w:sz w:val="48"/>
          <w:szCs w:val="48"/>
        </w:rPr>
      </w:pPr>
    </w:p>
    <w:p w14:paraId="35C6BA16">
      <w:pPr>
        <w:widowControl/>
        <w:jc w:val="center"/>
        <w:rPr>
          <w:rFonts w:eastAsia="黑体"/>
          <w:sz w:val="48"/>
          <w:szCs w:val="48"/>
        </w:rPr>
      </w:pPr>
    </w:p>
    <w:p w14:paraId="1D6B0A40">
      <w:pPr>
        <w:widowControl/>
        <w:jc w:val="center"/>
        <w:rPr>
          <w:rFonts w:eastAsia="黑体"/>
          <w:sz w:val="48"/>
          <w:szCs w:val="48"/>
        </w:rPr>
      </w:pPr>
    </w:p>
    <w:p w14:paraId="400C51A5">
      <w:pPr>
        <w:widowControl/>
        <w:jc w:val="center"/>
        <w:rPr>
          <w:rFonts w:eastAsia="黑体"/>
          <w:sz w:val="48"/>
          <w:szCs w:val="48"/>
        </w:rPr>
      </w:pPr>
      <w:r>
        <w:rPr>
          <w:rFonts w:eastAsia="黑体"/>
          <w:sz w:val="48"/>
          <w:szCs w:val="48"/>
        </w:rPr>
        <w:t>目录</w:t>
      </w:r>
    </w:p>
    <w:p w14:paraId="2863BCE7">
      <w:pPr>
        <w:widowControl/>
        <w:jc w:val="center"/>
        <w:rPr>
          <w:rFonts w:eastAsia="黑体"/>
          <w:sz w:val="28"/>
          <w:szCs w:val="28"/>
        </w:rPr>
      </w:pPr>
    </w:p>
    <w:p w14:paraId="247777F4">
      <w:pPr>
        <w:pStyle w:val="11"/>
        <w:rPr>
          <w:rFonts w:ascii="Times New Roman" w:hAnsi="Times New Roman"/>
        </w:rPr>
      </w:pPr>
      <w:r>
        <w:rPr>
          <w:rFonts w:ascii="Times New Roman" w:hAnsi="Times New Roman"/>
        </w:rPr>
        <w:t>公开时间：2022年9月14日</w:t>
      </w:r>
    </w:p>
    <w:p w14:paraId="3D3C9EA1"/>
    <w:p w14:paraId="0C541EEC">
      <w:pPr>
        <w:pStyle w:val="11"/>
        <w:adjustRightInd w:val="0"/>
        <w:snapToGrid w:val="0"/>
        <w:spacing w:before="0" w:line="600" w:lineRule="exact"/>
        <w:jc w:val="left"/>
        <w:rPr>
          <w:rFonts w:ascii="Times New Roman" w:hAnsi="Times New Roman"/>
          <w:sz w:val="24"/>
        </w:rPr>
      </w:pPr>
      <w:r>
        <w:rPr>
          <w:rFonts w:ascii="Times New Roman" w:hAnsi="Times New Roman"/>
          <w:sz w:val="24"/>
        </w:rPr>
        <w:t>第一部分 部门概况</w:t>
      </w:r>
      <w:r>
        <w:rPr>
          <w:rFonts w:ascii="Times New Roman" w:hAnsi="Times New Roman" w:eastAsia="宋体"/>
          <w:sz w:val="24"/>
          <w:szCs w:val="24"/>
        </w:rPr>
        <w:tab/>
      </w:r>
      <w:r>
        <w:rPr>
          <w:rFonts w:ascii="Times New Roman" w:hAnsi="Times New Roman" w:eastAsia="宋体"/>
          <w:sz w:val="24"/>
          <w:szCs w:val="24"/>
        </w:rPr>
        <w:t>4</w:t>
      </w:r>
    </w:p>
    <w:p w14:paraId="78531430">
      <w:pPr>
        <w:pStyle w:val="11"/>
        <w:adjustRightInd w:val="0"/>
        <w:snapToGrid w:val="0"/>
        <w:spacing w:before="0" w:line="600" w:lineRule="exact"/>
        <w:ind w:firstLine="480" w:firstLineChars="200"/>
        <w:jc w:val="left"/>
        <w:rPr>
          <w:rFonts w:ascii="Times New Roman" w:hAnsi="Times New Roman"/>
          <w:sz w:val="24"/>
        </w:rPr>
      </w:pPr>
      <w:r>
        <w:rPr>
          <w:rFonts w:ascii="Times New Roman" w:hAnsi="Times New Roman"/>
          <w:sz w:val="24"/>
        </w:rPr>
        <w:t>一、基本职能及主要工作</w:t>
      </w:r>
      <w:r>
        <w:rPr>
          <w:rFonts w:ascii="Times New Roman" w:hAnsi="Times New Roman" w:eastAsia="宋体"/>
          <w:sz w:val="24"/>
          <w:szCs w:val="24"/>
        </w:rPr>
        <w:tab/>
      </w:r>
      <w:r>
        <w:rPr>
          <w:rFonts w:ascii="Times New Roman" w:hAnsi="Times New Roman" w:eastAsia="宋体"/>
          <w:sz w:val="24"/>
          <w:szCs w:val="24"/>
        </w:rPr>
        <w:t>4</w:t>
      </w:r>
    </w:p>
    <w:p w14:paraId="139964D4">
      <w:pPr>
        <w:pStyle w:val="11"/>
        <w:adjustRightInd w:val="0"/>
        <w:snapToGrid w:val="0"/>
        <w:spacing w:before="0" w:line="600" w:lineRule="exact"/>
        <w:ind w:firstLine="480" w:firstLineChars="200"/>
        <w:jc w:val="left"/>
        <w:rPr>
          <w:rFonts w:ascii="Times New Roman" w:hAnsi="Times New Roman"/>
          <w:sz w:val="24"/>
        </w:rPr>
      </w:pPr>
      <w:r>
        <w:rPr>
          <w:rFonts w:ascii="Times New Roman" w:hAnsi="Times New Roman"/>
          <w:sz w:val="24"/>
        </w:rPr>
        <w:t>二、机构设置</w:t>
      </w:r>
      <w:r>
        <w:rPr>
          <w:rFonts w:ascii="Times New Roman" w:hAnsi="Times New Roman" w:eastAsia="宋体"/>
          <w:sz w:val="24"/>
          <w:szCs w:val="24"/>
        </w:rPr>
        <w:tab/>
      </w:r>
      <w:r>
        <w:rPr>
          <w:rFonts w:hint="eastAsia" w:ascii="Times New Roman" w:hAnsi="Times New Roman" w:eastAsia="宋体"/>
          <w:sz w:val="24"/>
          <w:szCs w:val="24"/>
        </w:rPr>
        <w:t>6</w:t>
      </w:r>
    </w:p>
    <w:p w14:paraId="6DB1E905">
      <w:pPr>
        <w:pStyle w:val="11"/>
        <w:adjustRightInd w:val="0"/>
        <w:snapToGrid w:val="0"/>
        <w:spacing w:before="0" w:line="600" w:lineRule="exact"/>
        <w:jc w:val="left"/>
        <w:rPr>
          <w:rFonts w:ascii="Times New Roman" w:hAnsi="Times New Roman"/>
          <w:sz w:val="24"/>
        </w:rPr>
      </w:pPr>
      <w:r>
        <w:rPr>
          <w:rFonts w:ascii="Times New Roman" w:hAnsi="Times New Roman"/>
          <w:sz w:val="24"/>
        </w:rPr>
        <w:t>第二部分 2021年度部门决算情况说明</w:t>
      </w:r>
      <w:r>
        <w:rPr>
          <w:rFonts w:ascii="Times New Roman" w:hAnsi="Times New Roman" w:eastAsia="宋体"/>
          <w:sz w:val="24"/>
          <w:szCs w:val="24"/>
        </w:rPr>
        <w:tab/>
      </w:r>
      <w:r>
        <w:rPr>
          <w:rFonts w:hint="eastAsia" w:ascii="Times New Roman" w:hAnsi="Times New Roman" w:eastAsia="宋体"/>
          <w:sz w:val="24"/>
          <w:szCs w:val="24"/>
        </w:rPr>
        <w:t>7</w:t>
      </w:r>
    </w:p>
    <w:p w14:paraId="324B91F1">
      <w:pPr>
        <w:pStyle w:val="11"/>
        <w:adjustRightInd w:val="0"/>
        <w:snapToGrid w:val="0"/>
        <w:spacing w:before="0" w:line="600" w:lineRule="exact"/>
        <w:ind w:firstLine="480" w:firstLineChars="200"/>
        <w:jc w:val="left"/>
        <w:rPr>
          <w:rFonts w:ascii="Times New Roman" w:hAnsi="Times New Roman"/>
          <w:sz w:val="24"/>
        </w:rPr>
      </w:pPr>
      <w:r>
        <w:rPr>
          <w:rFonts w:ascii="Times New Roman" w:hAnsi="Times New Roman"/>
          <w:sz w:val="24"/>
        </w:rPr>
        <w:t>一、收入支出决算总体情况说明</w:t>
      </w:r>
      <w:r>
        <w:rPr>
          <w:rFonts w:ascii="Times New Roman" w:hAnsi="Times New Roman" w:eastAsia="宋体"/>
          <w:sz w:val="24"/>
          <w:szCs w:val="24"/>
        </w:rPr>
        <w:tab/>
      </w:r>
      <w:r>
        <w:rPr>
          <w:rFonts w:hint="eastAsia" w:ascii="Times New Roman" w:hAnsi="Times New Roman" w:eastAsia="宋体"/>
          <w:sz w:val="24"/>
          <w:szCs w:val="24"/>
        </w:rPr>
        <w:t>7</w:t>
      </w:r>
    </w:p>
    <w:p w14:paraId="16C9D723">
      <w:pPr>
        <w:pStyle w:val="11"/>
        <w:adjustRightInd w:val="0"/>
        <w:snapToGrid w:val="0"/>
        <w:spacing w:before="0" w:line="600" w:lineRule="exact"/>
        <w:ind w:firstLine="480" w:firstLineChars="200"/>
        <w:jc w:val="left"/>
        <w:rPr>
          <w:rFonts w:ascii="Times New Roman" w:hAnsi="Times New Roman"/>
          <w:sz w:val="24"/>
        </w:rPr>
      </w:pPr>
      <w:r>
        <w:rPr>
          <w:rFonts w:ascii="Times New Roman" w:hAnsi="Times New Roman"/>
          <w:sz w:val="24"/>
        </w:rPr>
        <w:t>二、收入决算情况说明</w:t>
      </w:r>
      <w:r>
        <w:rPr>
          <w:rFonts w:ascii="Times New Roman" w:hAnsi="Times New Roman" w:eastAsia="宋体"/>
          <w:sz w:val="24"/>
          <w:szCs w:val="24"/>
        </w:rPr>
        <w:tab/>
      </w:r>
      <w:r>
        <w:rPr>
          <w:rFonts w:hint="eastAsia" w:ascii="Times New Roman" w:hAnsi="Times New Roman" w:eastAsia="宋体"/>
          <w:sz w:val="24"/>
          <w:szCs w:val="24"/>
        </w:rPr>
        <w:t>7</w:t>
      </w:r>
    </w:p>
    <w:p w14:paraId="0CE18607">
      <w:pPr>
        <w:pStyle w:val="11"/>
        <w:adjustRightInd w:val="0"/>
        <w:snapToGrid w:val="0"/>
        <w:spacing w:before="0" w:line="600" w:lineRule="exact"/>
        <w:ind w:firstLine="480" w:firstLineChars="200"/>
        <w:jc w:val="left"/>
        <w:rPr>
          <w:rFonts w:ascii="Times New Roman" w:hAnsi="Times New Roman"/>
          <w:sz w:val="24"/>
        </w:rPr>
      </w:pPr>
      <w:r>
        <w:rPr>
          <w:rFonts w:ascii="Times New Roman" w:hAnsi="Times New Roman"/>
          <w:sz w:val="24"/>
        </w:rPr>
        <w:t>三、支出决算情况说明</w:t>
      </w:r>
      <w:r>
        <w:rPr>
          <w:rFonts w:ascii="Times New Roman" w:hAnsi="Times New Roman" w:eastAsia="宋体"/>
          <w:sz w:val="24"/>
          <w:szCs w:val="24"/>
        </w:rPr>
        <w:tab/>
      </w:r>
      <w:r>
        <w:rPr>
          <w:rFonts w:hint="eastAsia" w:ascii="Times New Roman" w:hAnsi="Times New Roman" w:eastAsia="宋体"/>
          <w:sz w:val="24"/>
          <w:szCs w:val="24"/>
        </w:rPr>
        <w:t>8</w:t>
      </w:r>
    </w:p>
    <w:p w14:paraId="46FB5A7C">
      <w:pPr>
        <w:pStyle w:val="11"/>
        <w:adjustRightInd w:val="0"/>
        <w:snapToGrid w:val="0"/>
        <w:spacing w:before="0" w:line="600" w:lineRule="exact"/>
        <w:ind w:firstLine="480" w:firstLineChars="200"/>
        <w:jc w:val="left"/>
        <w:rPr>
          <w:rFonts w:ascii="Times New Roman" w:hAnsi="Times New Roman"/>
          <w:sz w:val="24"/>
        </w:rPr>
      </w:pPr>
      <w:r>
        <w:rPr>
          <w:rFonts w:ascii="Times New Roman" w:hAnsi="Times New Roman"/>
          <w:sz w:val="24"/>
        </w:rPr>
        <w:t>四、财政拨款收入支出决算总体情况说明</w:t>
      </w:r>
      <w:r>
        <w:rPr>
          <w:rFonts w:ascii="Times New Roman" w:hAnsi="Times New Roman" w:eastAsia="宋体"/>
          <w:sz w:val="24"/>
          <w:szCs w:val="24"/>
        </w:rPr>
        <w:tab/>
      </w:r>
      <w:r>
        <w:rPr>
          <w:rFonts w:hint="eastAsia" w:ascii="Times New Roman" w:hAnsi="Times New Roman" w:eastAsia="宋体"/>
          <w:sz w:val="24"/>
          <w:szCs w:val="24"/>
        </w:rPr>
        <w:t>8</w:t>
      </w:r>
    </w:p>
    <w:p w14:paraId="240D4BB0">
      <w:pPr>
        <w:pStyle w:val="11"/>
        <w:adjustRightInd w:val="0"/>
        <w:snapToGrid w:val="0"/>
        <w:spacing w:before="0" w:line="600" w:lineRule="exact"/>
        <w:ind w:firstLine="480" w:firstLineChars="200"/>
        <w:jc w:val="left"/>
        <w:rPr>
          <w:rFonts w:ascii="Times New Roman" w:hAnsi="Times New Roman"/>
          <w:sz w:val="24"/>
        </w:rPr>
      </w:pPr>
      <w:r>
        <w:rPr>
          <w:rFonts w:ascii="Times New Roman" w:hAnsi="Times New Roman"/>
          <w:sz w:val="24"/>
        </w:rPr>
        <w:t>五、一般公共预算财政拨款支出决算情况说明</w:t>
      </w:r>
      <w:r>
        <w:rPr>
          <w:rFonts w:ascii="Times New Roman" w:hAnsi="Times New Roman" w:eastAsia="宋体"/>
          <w:sz w:val="24"/>
          <w:szCs w:val="24"/>
        </w:rPr>
        <w:tab/>
      </w:r>
      <w:r>
        <w:rPr>
          <w:rFonts w:hint="eastAsia" w:ascii="Times New Roman" w:hAnsi="Times New Roman" w:eastAsia="宋体"/>
          <w:sz w:val="24"/>
          <w:szCs w:val="24"/>
        </w:rPr>
        <w:t>9</w:t>
      </w:r>
    </w:p>
    <w:p w14:paraId="6E9DA67C">
      <w:pPr>
        <w:pStyle w:val="11"/>
        <w:adjustRightInd w:val="0"/>
        <w:snapToGrid w:val="0"/>
        <w:spacing w:before="0" w:line="600" w:lineRule="exact"/>
        <w:ind w:firstLine="480" w:firstLineChars="200"/>
        <w:jc w:val="left"/>
        <w:rPr>
          <w:rFonts w:ascii="Times New Roman" w:hAnsi="Times New Roman"/>
          <w:sz w:val="24"/>
        </w:rPr>
      </w:pPr>
      <w:r>
        <w:rPr>
          <w:rFonts w:ascii="Times New Roman" w:hAnsi="Times New Roman"/>
          <w:sz w:val="24"/>
        </w:rPr>
        <w:t>六、一般公共预算财政拨款基本支出决算情况说明</w:t>
      </w:r>
      <w:r>
        <w:rPr>
          <w:rFonts w:ascii="Times New Roman" w:hAnsi="Times New Roman" w:eastAsia="宋体"/>
          <w:sz w:val="24"/>
          <w:szCs w:val="24"/>
        </w:rPr>
        <w:tab/>
      </w:r>
      <w:r>
        <w:rPr>
          <w:rFonts w:hint="eastAsia" w:ascii="Times New Roman" w:hAnsi="Times New Roman" w:eastAsia="宋体"/>
          <w:sz w:val="24"/>
          <w:szCs w:val="24"/>
        </w:rPr>
        <w:t>12</w:t>
      </w:r>
    </w:p>
    <w:p w14:paraId="1DDF43D9">
      <w:pPr>
        <w:pStyle w:val="11"/>
        <w:adjustRightInd w:val="0"/>
        <w:snapToGrid w:val="0"/>
        <w:spacing w:before="0" w:line="600" w:lineRule="exact"/>
        <w:ind w:firstLine="480" w:firstLineChars="200"/>
        <w:jc w:val="left"/>
        <w:rPr>
          <w:rFonts w:ascii="Times New Roman" w:hAnsi="Times New Roman"/>
          <w:sz w:val="24"/>
        </w:rPr>
      </w:pPr>
      <w:r>
        <w:rPr>
          <w:rFonts w:ascii="Times New Roman" w:hAnsi="Times New Roman"/>
          <w:sz w:val="24"/>
        </w:rPr>
        <w:t>七、“三公”经费财政拨款支出决算情况说明</w:t>
      </w:r>
      <w:r>
        <w:rPr>
          <w:rFonts w:ascii="Times New Roman" w:hAnsi="Times New Roman" w:eastAsia="宋体"/>
          <w:sz w:val="24"/>
          <w:szCs w:val="24"/>
        </w:rPr>
        <w:tab/>
      </w:r>
      <w:r>
        <w:rPr>
          <w:rFonts w:hint="eastAsia" w:ascii="Times New Roman" w:hAnsi="Times New Roman" w:eastAsia="宋体"/>
          <w:sz w:val="24"/>
          <w:szCs w:val="24"/>
        </w:rPr>
        <w:t>13</w:t>
      </w:r>
    </w:p>
    <w:p w14:paraId="55C18F6F">
      <w:pPr>
        <w:pStyle w:val="11"/>
        <w:adjustRightInd w:val="0"/>
        <w:snapToGrid w:val="0"/>
        <w:spacing w:before="0" w:line="600" w:lineRule="exact"/>
        <w:ind w:firstLine="480" w:firstLineChars="200"/>
        <w:jc w:val="left"/>
        <w:rPr>
          <w:rFonts w:ascii="Times New Roman" w:hAnsi="Times New Roman"/>
          <w:sz w:val="24"/>
        </w:rPr>
      </w:pPr>
      <w:r>
        <w:rPr>
          <w:rFonts w:ascii="Times New Roman" w:hAnsi="Times New Roman"/>
          <w:sz w:val="24"/>
        </w:rPr>
        <w:t>八、政府性基金预算支出决算情况说明</w:t>
      </w:r>
      <w:r>
        <w:rPr>
          <w:rFonts w:ascii="Times New Roman" w:hAnsi="Times New Roman" w:eastAsia="宋体"/>
          <w:sz w:val="24"/>
          <w:szCs w:val="24"/>
        </w:rPr>
        <w:tab/>
      </w:r>
      <w:r>
        <w:rPr>
          <w:rFonts w:hint="eastAsia" w:ascii="Times New Roman" w:hAnsi="Times New Roman" w:eastAsia="宋体"/>
          <w:sz w:val="24"/>
          <w:szCs w:val="24"/>
        </w:rPr>
        <w:t>16</w:t>
      </w:r>
    </w:p>
    <w:p w14:paraId="10784641">
      <w:pPr>
        <w:pStyle w:val="11"/>
        <w:adjustRightInd w:val="0"/>
        <w:snapToGrid w:val="0"/>
        <w:spacing w:before="0" w:line="600" w:lineRule="exact"/>
        <w:ind w:firstLine="480" w:firstLineChars="200"/>
        <w:jc w:val="left"/>
        <w:rPr>
          <w:rFonts w:ascii="Times New Roman" w:hAnsi="Times New Roman"/>
          <w:sz w:val="24"/>
        </w:rPr>
      </w:pPr>
      <w:r>
        <w:rPr>
          <w:rFonts w:ascii="Times New Roman" w:hAnsi="Times New Roman" w:eastAsiaTheme="minorEastAsia"/>
          <w:sz w:val="24"/>
        </w:rPr>
        <w:t>九、国有资本经营预算支出决算情况说明</w:t>
      </w:r>
      <w:r>
        <w:rPr>
          <w:rFonts w:ascii="Times New Roman" w:hAnsi="Times New Roman" w:eastAsia="宋体"/>
          <w:sz w:val="24"/>
          <w:szCs w:val="24"/>
        </w:rPr>
        <w:tab/>
      </w:r>
      <w:r>
        <w:rPr>
          <w:rFonts w:hint="eastAsia" w:ascii="Times New Roman" w:hAnsi="Times New Roman" w:eastAsia="宋体"/>
          <w:sz w:val="24"/>
          <w:szCs w:val="24"/>
        </w:rPr>
        <w:t>16</w:t>
      </w:r>
    </w:p>
    <w:p w14:paraId="048F64A0">
      <w:pPr>
        <w:pStyle w:val="11"/>
        <w:adjustRightInd w:val="0"/>
        <w:snapToGrid w:val="0"/>
        <w:spacing w:before="0" w:line="600" w:lineRule="exact"/>
        <w:ind w:firstLine="480" w:firstLineChars="200"/>
        <w:jc w:val="left"/>
        <w:rPr>
          <w:rFonts w:ascii="Times New Roman" w:hAnsi="Times New Roman"/>
          <w:sz w:val="24"/>
        </w:rPr>
      </w:pPr>
      <w:r>
        <w:rPr>
          <w:rStyle w:val="16"/>
          <w:rFonts w:ascii="Times New Roman" w:hAnsi="Times New Roman" w:eastAsiaTheme="minorEastAsia"/>
          <w:color w:val="auto"/>
          <w:sz w:val="24"/>
          <w:u w:val="none"/>
        </w:rPr>
        <w:t>十、</w:t>
      </w:r>
      <w:r>
        <w:rPr>
          <w:rFonts w:ascii="Times New Roman" w:hAnsi="Times New Roman" w:eastAsiaTheme="minorEastAsia"/>
          <w:sz w:val="24"/>
        </w:rPr>
        <w:t>其他重要事项的情况说明</w:t>
      </w:r>
      <w:r>
        <w:rPr>
          <w:rFonts w:ascii="Times New Roman" w:hAnsi="Times New Roman" w:eastAsia="宋体"/>
          <w:sz w:val="24"/>
          <w:szCs w:val="24"/>
        </w:rPr>
        <w:tab/>
      </w:r>
      <w:r>
        <w:rPr>
          <w:rFonts w:hint="eastAsia" w:ascii="Times New Roman" w:hAnsi="Times New Roman" w:eastAsia="宋体"/>
          <w:sz w:val="24"/>
          <w:szCs w:val="24"/>
        </w:rPr>
        <w:t>16</w:t>
      </w:r>
    </w:p>
    <w:p w14:paraId="40A09D7B">
      <w:pPr>
        <w:pStyle w:val="11"/>
        <w:adjustRightInd w:val="0"/>
        <w:snapToGrid w:val="0"/>
        <w:spacing w:before="0" w:line="600" w:lineRule="exact"/>
        <w:jc w:val="left"/>
        <w:rPr>
          <w:rFonts w:ascii="Times New Roman" w:hAnsi="Times New Roman"/>
          <w:sz w:val="24"/>
        </w:rPr>
      </w:pPr>
      <w:r>
        <w:rPr>
          <w:rFonts w:ascii="Times New Roman" w:hAnsi="Times New Roman"/>
          <w:sz w:val="24"/>
        </w:rPr>
        <w:t>第三部分 名词解释</w:t>
      </w:r>
      <w:r>
        <w:rPr>
          <w:rFonts w:ascii="Times New Roman" w:hAnsi="Times New Roman" w:eastAsia="宋体"/>
          <w:sz w:val="24"/>
          <w:szCs w:val="24"/>
        </w:rPr>
        <w:tab/>
      </w:r>
      <w:r>
        <w:rPr>
          <w:rFonts w:hint="eastAsia" w:ascii="Times New Roman" w:hAnsi="Times New Roman" w:eastAsia="宋体"/>
          <w:sz w:val="24"/>
          <w:szCs w:val="24"/>
        </w:rPr>
        <w:t>18</w:t>
      </w:r>
    </w:p>
    <w:p w14:paraId="0AD80EE2">
      <w:pPr>
        <w:pStyle w:val="11"/>
        <w:adjustRightInd w:val="0"/>
        <w:snapToGrid w:val="0"/>
        <w:spacing w:before="0" w:line="600" w:lineRule="exact"/>
        <w:jc w:val="left"/>
        <w:rPr>
          <w:rFonts w:ascii="Times New Roman" w:hAnsi="Times New Roman"/>
          <w:sz w:val="24"/>
        </w:rPr>
      </w:pPr>
      <w:r>
        <w:rPr>
          <w:rFonts w:ascii="Times New Roman" w:hAnsi="Times New Roman"/>
          <w:sz w:val="24"/>
        </w:rPr>
        <w:t>第四部分 附件</w:t>
      </w:r>
      <w:r>
        <w:rPr>
          <w:rFonts w:ascii="Times New Roman" w:hAnsi="Times New Roman" w:eastAsia="宋体"/>
          <w:sz w:val="24"/>
          <w:szCs w:val="24"/>
        </w:rPr>
        <w:tab/>
      </w:r>
      <w:r>
        <w:rPr>
          <w:rFonts w:hint="eastAsia" w:ascii="Times New Roman" w:hAnsi="Times New Roman" w:eastAsia="宋体"/>
          <w:sz w:val="24"/>
          <w:szCs w:val="24"/>
        </w:rPr>
        <w:t>21</w:t>
      </w:r>
    </w:p>
    <w:p w14:paraId="696BC983">
      <w:pPr>
        <w:pStyle w:val="11"/>
        <w:adjustRightInd w:val="0"/>
        <w:snapToGrid w:val="0"/>
        <w:spacing w:before="0" w:line="600" w:lineRule="exact"/>
        <w:jc w:val="left"/>
        <w:rPr>
          <w:rFonts w:ascii="Times New Roman" w:hAnsi="Times New Roman"/>
          <w:sz w:val="24"/>
        </w:rPr>
      </w:pPr>
      <w:r>
        <w:rPr>
          <w:rFonts w:ascii="Times New Roman" w:hAnsi="Times New Roman"/>
          <w:sz w:val="24"/>
        </w:rPr>
        <w:t>第五部分 附表</w:t>
      </w:r>
      <w:r>
        <w:rPr>
          <w:rFonts w:ascii="Times New Roman" w:hAnsi="Times New Roman" w:eastAsia="宋体"/>
          <w:sz w:val="24"/>
          <w:szCs w:val="24"/>
        </w:rPr>
        <w:tab/>
      </w:r>
      <w:r>
        <w:rPr>
          <w:rFonts w:hint="eastAsia" w:ascii="Times New Roman" w:hAnsi="Times New Roman" w:eastAsia="宋体"/>
          <w:sz w:val="24"/>
          <w:szCs w:val="24"/>
        </w:rPr>
        <w:t>30</w:t>
      </w:r>
    </w:p>
    <w:p w14:paraId="4083B237">
      <w:pPr>
        <w:pStyle w:val="11"/>
        <w:adjustRightInd w:val="0"/>
        <w:snapToGrid w:val="0"/>
        <w:spacing w:before="0" w:line="600" w:lineRule="exact"/>
        <w:ind w:firstLine="480" w:firstLineChars="200"/>
        <w:jc w:val="left"/>
        <w:rPr>
          <w:rFonts w:ascii="Times New Roman" w:hAnsi="Times New Roman"/>
          <w:sz w:val="24"/>
        </w:rPr>
      </w:pPr>
      <w:r>
        <w:rPr>
          <w:rFonts w:ascii="Times New Roman" w:hAnsi="Times New Roman"/>
          <w:sz w:val="24"/>
        </w:rPr>
        <w:t>一、收入支出决算总表</w:t>
      </w:r>
      <w:r>
        <w:rPr>
          <w:rFonts w:ascii="Times New Roman" w:hAnsi="Times New Roman" w:eastAsia="宋体"/>
          <w:sz w:val="24"/>
          <w:szCs w:val="24"/>
        </w:rPr>
        <w:tab/>
      </w:r>
      <w:r>
        <w:rPr>
          <w:rFonts w:hint="eastAsia" w:ascii="Times New Roman" w:hAnsi="Times New Roman" w:eastAsia="宋体"/>
          <w:sz w:val="24"/>
          <w:szCs w:val="24"/>
        </w:rPr>
        <w:t>30</w:t>
      </w:r>
    </w:p>
    <w:p w14:paraId="76B12B69">
      <w:pPr>
        <w:pStyle w:val="11"/>
        <w:adjustRightInd w:val="0"/>
        <w:snapToGrid w:val="0"/>
        <w:spacing w:before="0" w:line="600" w:lineRule="exact"/>
        <w:ind w:firstLine="480" w:firstLineChars="200"/>
        <w:jc w:val="left"/>
        <w:rPr>
          <w:rFonts w:ascii="Times New Roman" w:hAnsi="Times New Roman"/>
          <w:sz w:val="24"/>
        </w:rPr>
      </w:pPr>
      <w:r>
        <w:rPr>
          <w:rFonts w:ascii="Times New Roman" w:hAnsi="Times New Roman" w:eastAsiaTheme="minorEastAsia"/>
          <w:sz w:val="24"/>
        </w:rPr>
        <w:t>二、收入决算表</w:t>
      </w:r>
      <w:r>
        <w:rPr>
          <w:rFonts w:ascii="Times New Roman" w:hAnsi="Times New Roman" w:eastAsia="宋体"/>
          <w:sz w:val="24"/>
          <w:szCs w:val="24"/>
        </w:rPr>
        <w:tab/>
      </w:r>
      <w:r>
        <w:rPr>
          <w:rFonts w:hint="eastAsia" w:ascii="Times New Roman" w:hAnsi="Times New Roman" w:eastAsia="宋体"/>
          <w:sz w:val="24"/>
          <w:szCs w:val="24"/>
        </w:rPr>
        <w:t>30</w:t>
      </w:r>
    </w:p>
    <w:p w14:paraId="1FCF1FF4">
      <w:pPr>
        <w:pStyle w:val="11"/>
        <w:adjustRightInd w:val="0"/>
        <w:snapToGrid w:val="0"/>
        <w:spacing w:before="0" w:line="600" w:lineRule="exact"/>
        <w:ind w:firstLine="480" w:firstLineChars="200"/>
        <w:jc w:val="left"/>
        <w:rPr>
          <w:rFonts w:ascii="Times New Roman" w:hAnsi="Times New Roman"/>
          <w:sz w:val="24"/>
        </w:rPr>
      </w:pPr>
      <w:r>
        <w:rPr>
          <w:rFonts w:ascii="Times New Roman" w:hAnsi="Times New Roman" w:eastAsiaTheme="minorEastAsia"/>
          <w:sz w:val="24"/>
        </w:rPr>
        <w:t>三、支出决算表</w:t>
      </w:r>
      <w:r>
        <w:rPr>
          <w:rFonts w:ascii="Times New Roman" w:hAnsi="Times New Roman" w:eastAsia="宋体"/>
          <w:sz w:val="24"/>
          <w:szCs w:val="24"/>
        </w:rPr>
        <w:tab/>
      </w:r>
      <w:r>
        <w:rPr>
          <w:rFonts w:hint="eastAsia" w:ascii="Times New Roman" w:hAnsi="Times New Roman" w:eastAsia="宋体"/>
          <w:sz w:val="24"/>
          <w:szCs w:val="24"/>
        </w:rPr>
        <w:t>30</w:t>
      </w:r>
    </w:p>
    <w:p w14:paraId="644F578F">
      <w:pPr>
        <w:pStyle w:val="11"/>
        <w:adjustRightInd w:val="0"/>
        <w:snapToGrid w:val="0"/>
        <w:spacing w:before="0" w:line="600" w:lineRule="exact"/>
        <w:ind w:firstLine="480" w:firstLineChars="200"/>
        <w:jc w:val="left"/>
        <w:rPr>
          <w:rFonts w:ascii="Times New Roman" w:hAnsi="Times New Roman"/>
          <w:sz w:val="24"/>
        </w:rPr>
      </w:pPr>
      <w:r>
        <w:rPr>
          <w:rFonts w:ascii="Times New Roman" w:hAnsi="Times New Roman" w:eastAsiaTheme="minorEastAsia"/>
          <w:sz w:val="24"/>
        </w:rPr>
        <w:t>四、财政拨款收入支出决算总表</w:t>
      </w:r>
      <w:r>
        <w:rPr>
          <w:rFonts w:ascii="Times New Roman" w:hAnsi="Times New Roman" w:eastAsia="宋体"/>
          <w:sz w:val="24"/>
          <w:szCs w:val="24"/>
        </w:rPr>
        <w:tab/>
      </w:r>
      <w:r>
        <w:rPr>
          <w:rFonts w:hint="eastAsia" w:ascii="Times New Roman" w:hAnsi="Times New Roman" w:eastAsia="宋体"/>
          <w:sz w:val="24"/>
          <w:szCs w:val="24"/>
        </w:rPr>
        <w:t>30</w:t>
      </w:r>
    </w:p>
    <w:p w14:paraId="38CC3022">
      <w:pPr>
        <w:pStyle w:val="11"/>
        <w:adjustRightInd w:val="0"/>
        <w:snapToGrid w:val="0"/>
        <w:spacing w:before="0" w:line="600" w:lineRule="exact"/>
        <w:ind w:firstLine="480" w:firstLineChars="200"/>
        <w:jc w:val="left"/>
        <w:rPr>
          <w:rFonts w:ascii="Times New Roman" w:hAnsi="Times New Roman"/>
          <w:sz w:val="24"/>
        </w:rPr>
      </w:pPr>
      <w:r>
        <w:rPr>
          <w:rFonts w:ascii="Times New Roman" w:hAnsi="Times New Roman" w:eastAsiaTheme="minorEastAsia"/>
          <w:sz w:val="24"/>
        </w:rPr>
        <w:t>五、财政拨款支出决算明细表</w:t>
      </w:r>
      <w:r>
        <w:rPr>
          <w:rFonts w:ascii="Times New Roman" w:hAnsi="Times New Roman" w:eastAsia="宋体"/>
          <w:sz w:val="24"/>
          <w:szCs w:val="24"/>
        </w:rPr>
        <w:tab/>
      </w:r>
      <w:r>
        <w:rPr>
          <w:rFonts w:hint="eastAsia" w:ascii="Times New Roman" w:hAnsi="Times New Roman" w:eastAsia="宋体"/>
          <w:sz w:val="24"/>
          <w:szCs w:val="24"/>
        </w:rPr>
        <w:t>30</w:t>
      </w:r>
    </w:p>
    <w:p w14:paraId="76B9B9B9">
      <w:pPr>
        <w:pStyle w:val="11"/>
        <w:adjustRightInd w:val="0"/>
        <w:snapToGrid w:val="0"/>
        <w:spacing w:before="0" w:line="600" w:lineRule="exact"/>
        <w:ind w:firstLine="480" w:firstLineChars="200"/>
        <w:jc w:val="left"/>
        <w:rPr>
          <w:rFonts w:ascii="Times New Roman" w:hAnsi="Times New Roman"/>
          <w:sz w:val="24"/>
        </w:rPr>
      </w:pPr>
      <w:r>
        <w:rPr>
          <w:rFonts w:ascii="Times New Roman" w:hAnsi="Times New Roman" w:eastAsiaTheme="minorEastAsia"/>
          <w:sz w:val="24"/>
        </w:rPr>
        <w:t>六、一般公共预算财政拨款支出决算表</w:t>
      </w:r>
      <w:r>
        <w:rPr>
          <w:rFonts w:ascii="Times New Roman" w:hAnsi="Times New Roman" w:eastAsia="宋体"/>
          <w:sz w:val="24"/>
          <w:szCs w:val="24"/>
        </w:rPr>
        <w:tab/>
      </w:r>
      <w:r>
        <w:rPr>
          <w:rFonts w:hint="eastAsia" w:ascii="Times New Roman" w:hAnsi="Times New Roman" w:eastAsia="宋体"/>
          <w:sz w:val="24"/>
          <w:szCs w:val="24"/>
        </w:rPr>
        <w:t>30</w:t>
      </w:r>
    </w:p>
    <w:p w14:paraId="737A756A">
      <w:pPr>
        <w:pStyle w:val="11"/>
        <w:adjustRightInd w:val="0"/>
        <w:snapToGrid w:val="0"/>
        <w:spacing w:before="0" w:line="600" w:lineRule="exact"/>
        <w:ind w:firstLine="480" w:firstLineChars="200"/>
        <w:jc w:val="left"/>
        <w:rPr>
          <w:rFonts w:ascii="Times New Roman" w:hAnsi="Times New Roman"/>
          <w:sz w:val="24"/>
        </w:rPr>
      </w:pPr>
      <w:r>
        <w:rPr>
          <w:rFonts w:ascii="Times New Roman" w:hAnsi="Times New Roman" w:eastAsiaTheme="minorEastAsia"/>
          <w:sz w:val="24"/>
        </w:rPr>
        <w:t>七、一般公共预算财政拨款支出决算明细表</w:t>
      </w:r>
      <w:r>
        <w:rPr>
          <w:rFonts w:ascii="Times New Roman" w:hAnsi="Times New Roman" w:eastAsia="宋体"/>
          <w:sz w:val="24"/>
          <w:szCs w:val="24"/>
        </w:rPr>
        <w:tab/>
      </w:r>
      <w:r>
        <w:rPr>
          <w:rFonts w:hint="eastAsia" w:ascii="Times New Roman" w:hAnsi="Times New Roman" w:eastAsia="宋体"/>
          <w:sz w:val="24"/>
          <w:szCs w:val="24"/>
        </w:rPr>
        <w:t>30</w:t>
      </w:r>
    </w:p>
    <w:p w14:paraId="5A74C0F7">
      <w:pPr>
        <w:pStyle w:val="11"/>
        <w:adjustRightInd w:val="0"/>
        <w:snapToGrid w:val="0"/>
        <w:spacing w:before="0" w:line="600" w:lineRule="exact"/>
        <w:ind w:firstLine="480" w:firstLineChars="200"/>
        <w:jc w:val="left"/>
        <w:rPr>
          <w:rFonts w:ascii="Times New Roman" w:hAnsi="Times New Roman"/>
          <w:sz w:val="24"/>
        </w:rPr>
      </w:pPr>
      <w:r>
        <w:rPr>
          <w:rFonts w:ascii="Times New Roman" w:hAnsi="Times New Roman" w:eastAsiaTheme="minorEastAsia"/>
          <w:sz w:val="24"/>
        </w:rPr>
        <w:t>八、一般公共预算财政拨款基本支出决算表</w:t>
      </w:r>
      <w:r>
        <w:rPr>
          <w:rFonts w:ascii="Times New Roman" w:hAnsi="Times New Roman" w:eastAsia="宋体"/>
          <w:sz w:val="24"/>
          <w:szCs w:val="24"/>
        </w:rPr>
        <w:tab/>
      </w:r>
      <w:r>
        <w:rPr>
          <w:rFonts w:hint="eastAsia" w:ascii="Times New Roman" w:hAnsi="Times New Roman" w:eastAsia="宋体"/>
          <w:sz w:val="24"/>
          <w:szCs w:val="24"/>
        </w:rPr>
        <w:t>30</w:t>
      </w:r>
    </w:p>
    <w:p w14:paraId="188D42C1">
      <w:pPr>
        <w:pStyle w:val="11"/>
        <w:adjustRightInd w:val="0"/>
        <w:snapToGrid w:val="0"/>
        <w:spacing w:before="0" w:line="600" w:lineRule="exact"/>
        <w:ind w:firstLine="480" w:firstLineChars="200"/>
        <w:jc w:val="left"/>
        <w:rPr>
          <w:rFonts w:ascii="Times New Roman" w:hAnsi="Times New Roman"/>
          <w:sz w:val="24"/>
        </w:rPr>
      </w:pPr>
      <w:r>
        <w:rPr>
          <w:rFonts w:ascii="Times New Roman" w:hAnsi="Times New Roman" w:eastAsiaTheme="minorEastAsia"/>
          <w:sz w:val="24"/>
        </w:rPr>
        <w:t>九、一般公共预算财政拨款项目支出决算表</w:t>
      </w:r>
      <w:r>
        <w:rPr>
          <w:rFonts w:ascii="Times New Roman" w:hAnsi="Times New Roman" w:eastAsia="宋体"/>
          <w:sz w:val="24"/>
          <w:szCs w:val="24"/>
        </w:rPr>
        <w:tab/>
      </w:r>
      <w:r>
        <w:rPr>
          <w:rFonts w:hint="eastAsia" w:ascii="Times New Roman" w:hAnsi="Times New Roman" w:eastAsia="宋体"/>
          <w:sz w:val="24"/>
          <w:szCs w:val="24"/>
        </w:rPr>
        <w:t>30</w:t>
      </w:r>
    </w:p>
    <w:p w14:paraId="775660A0">
      <w:pPr>
        <w:pStyle w:val="11"/>
        <w:adjustRightInd w:val="0"/>
        <w:snapToGrid w:val="0"/>
        <w:spacing w:before="0" w:line="600" w:lineRule="exact"/>
        <w:ind w:firstLine="480" w:firstLineChars="200"/>
        <w:jc w:val="left"/>
        <w:rPr>
          <w:rFonts w:ascii="Times New Roman" w:hAnsi="Times New Roman"/>
          <w:sz w:val="24"/>
        </w:rPr>
      </w:pPr>
      <w:r>
        <w:rPr>
          <w:rFonts w:ascii="Times New Roman" w:hAnsi="Times New Roman" w:eastAsiaTheme="minorEastAsia"/>
          <w:sz w:val="24"/>
        </w:rPr>
        <w:t>十、一般公共预算财政拨款“三公”经费支出决算表</w:t>
      </w:r>
      <w:r>
        <w:rPr>
          <w:rFonts w:ascii="Times New Roman" w:hAnsi="Times New Roman" w:eastAsia="宋体"/>
          <w:sz w:val="24"/>
          <w:szCs w:val="24"/>
        </w:rPr>
        <w:tab/>
      </w:r>
      <w:r>
        <w:rPr>
          <w:rFonts w:hint="eastAsia" w:ascii="Times New Roman" w:hAnsi="Times New Roman" w:eastAsia="宋体"/>
          <w:sz w:val="24"/>
          <w:szCs w:val="24"/>
        </w:rPr>
        <w:t>30</w:t>
      </w:r>
    </w:p>
    <w:p w14:paraId="165F775B">
      <w:pPr>
        <w:pStyle w:val="11"/>
        <w:adjustRightInd w:val="0"/>
        <w:snapToGrid w:val="0"/>
        <w:spacing w:before="0" w:line="600" w:lineRule="exact"/>
        <w:ind w:firstLine="480" w:firstLineChars="200"/>
        <w:jc w:val="left"/>
        <w:rPr>
          <w:rFonts w:ascii="Times New Roman" w:hAnsi="Times New Roman"/>
          <w:sz w:val="24"/>
        </w:rPr>
      </w:pPr>
      <w:r>
        <w:rPr>
          <w:rFonts w:ascii="Times New Roman" w:hAnsi="Times New Roman" w:eastAsiaTheme="minorEastAsia"/>
          <w:sz w:val="24"/>
        </w:rPr>
        <w:t>十一、政府性基金预算财政拨款收入支出决算表</w:t>
      </w:r>
      <w:r>
        <w:rPr>
          <w:rFonts w:ascii="Times New Roman" w:hAnsi="Times New Roman" w:eastAsia="宋体"/>
          <w:sz w:val="24"/>
          <w:szCs w:val="24"/>
        </w:rPr>
        <w:tab/>
      </w:r>
      <w:r>
        <w:rPr>
          <w:rFonts w:hint="eastAsia" w:ascii="Times New Roman" w:hAnsi="Times New Roman" w:eastAsia="宋体"/>
          <w:sz w:val="24"/>
          <w:szCs w:val="24"/>
        </w:rPr>
        <w:t>30</w:t>
      </w:r>
    </w:p>
    <w:p w14:paraId="5E8E73AC">
      <w:pPr>
        <w:pStyle w:val="11"/>
        <w:adjustRightInd w:val="0"/>
        <w:snapToGrid w:val="0"/>
        <w:spacing w:before="0" w:line="600" w:lineRule="exact"/>
        <w:ind w:firstLine="480" w:firstLineChars="200"/>
        <w:jc w:val="left"/>
        <w:rPr>
          <w:rFonts w:ascii="Times New Roman" w:hAnsi="Times New Roman"/>
          <w:sz w:val="24"/>
        </w:rPr>
      </w:pPr>
      <w:r>
        <w:rPr>
          <w:rFonts w:ascii="Times New Roman" w:hAnsi="Times New Roman" w:eastAsiaTheme="minorEastAsia"/>
          <w:sz w:val="24"/>
        </w:rPr>
        <w:t>十二、政府性基金预算财政拨款“三公”经费支出决算表</w:t>
      </w:r>
      <w:r>
        <w:rPr>
          <w:rFonts w:ascii="Times New Roman" w:hAnsi="Times New Roman" w:eastAsia="宋体"/>
          <w:sz w:val="24"/>
          <w:szCs w:val="24"/>
        </w:rPr>
        <w:tab/>
      </w:r>
      <w:r>
        <w:rPr>
          <w:rFonts w:hint="eastAsia" w:ascii="Times New Roman" w:hAnsi="Times New Roman" w:eastAsia="宋体"/>
          <w:sz w:val="24"/>
          <w:szCs w:val="24"/>
        </w:rPr>
        <w:t>30</w:t>
      </w:r>
    </w:p>
    <w:p w14:paraId="42B3556B">
      <w:pPr>
        <w:pStyle w:val="11"/>
        <w:adjustRightInd w:val="0"/>
        <w:snapToGrid w:val="0"/>
        <w:spacing w:before="0" w:line="600" w:lineRule="exact"/>
        <w:ind w:firstLine="480" w:firstLineChars="200"/>
        <w:jc w:val="left"/>
        <w:rPr>
          <w:rFonts w:ascii="Times New Roman" w:hAnsi="Times New Roman"/>
          <w:sz w:val="24"/>
        </w:rPr>
      </w:pPr>
      <w:r>
        <w:rPr>
          <w:rFonts w:ascii="Times New Roman" w:hAnsi="Times New Roman" w:eastAsiaTheme="minorEastAsia"/>
          <w:sz w:val="24"/>
        </w:rPr>
        <w:t>十三、国有资本经营预算财政拨款收入支出决算表</w:t>
      </w:r>
      <w:r>
        <w:rPr>
          <w:rFonts w:ascii="Times New Roman" w:hAnsi="Times New Roman" w:eastAsia="宋体"/>
          <w:sz w:val="24"/>
          <w:szCs w:val="24"/>
        </w:rPr>
        <w:tab/>
      </w:r>
      <w:r>
        <w:rPr>
          <w:rFonts w:hint="eastAsia" w:ascii="Times New Roman" w:hAnsi="Times New Roman" w:eastAsia="宋体"/>
          <w:sz w:val="24"/>
          <w:szCs w:val="24"/>
        </w:rPr>
        <w:t>30</w:t>
      </w:r>
    </w:p>
    <w:p w14:paraId="32D2BB0E">
      <w:pPr>
        <w:pStyle w:val="11"/>
        <w:adjustRightInd w:val="0"/>
        <w:snapToGrid w:val="0"/>
        <w:spacing w:before="0" w:line="600" w:lineRule="exact"/>
        <w:ind w:firstLine="480" w:firstLineChars="200"/>
        <w:jc w:val="left"/>
        <w:rPr>
          <w:rFonts w:ascii="Times New Roman" w:hAnsi="Times New Roman" w:eastAsia="宋体"/>
          <w:sz w:val="24"/>
          <w:szCs w:val="24"/>
        </w:rPr>
      </w:pPr>
      <w:r>
        <w:rPr>
          <w:rFonts w:ascii="Times New Roman" w:hAnsi="Times New Roman" w:eastAsiaTheme="minorEastAsia"/>
          <w:sz w:val="24"/>
        </w:rPr>
        <w:t>十四、国有资本经营预算财政拨款支出决算表</w:t>
      </w:r>
      <w:r>
        <w:rPr>
          <w:rFonts w:ascii="Times New Roman" w:hAnsi="Times New Roman" w:eastAsia="宋体"/>
          <w:sz w:val="24"/>
          <w:szCs w:val="24"/>
        </w:rPr>
        <w:tab/>
      </w:r>
      <w:r>
        <w:rPr>
          <w:rFonts w:hint="eastAsia" w:ascii="Times New Roman" w:hAnsi="Times New Roman" w:eastAsia="宋体"/>
          <w:sz w:val="24"/>
          <w:szCs w:val="24"/>
        </w:rPr>
        <w:t>30</w:t>
      </w:r>
      <w:bookmarkStart w:id="12" w:name="_Toc15396599"/>
      <w:bookmarkStart w:id="13" w:name="_Toc15377196"/>
    </w:p>
    <w:p w14:paraId="3C4F77C9">
      <w:pPr>
        <w:pStyle w:val="11"/>
        <w:adjustRightInd w:val="0"/>
        <w:snapToGrid w:val="0"/>
        <w:spacing w:before="0" w:line="600" w:lineRule="exact"/>
        <w:ind w:firstLine="480" w:firstLineChars="200"/>
        <w:jc w:val="left"/>
        <w:rPr>
          <w:rFonts w:ascii="Times New Roman" w:hAnsi="Times New Roman" w:eastAsia="宋体"/>
          <w:sz w:val="24"/>
          <w:szCs w:val="24"/>
        </w:rPr>
      </w:pPr>
    </w:p>
    <w:p w14:paraId="6C13DDE2">
      <w:pPr>
        <w:pStyle w:val="11"/>
        <w:adjustRightInd w:val="0"/>
        <w:snapToGrid w:val="0"/>
        <w:spacing w:before="0" w:line="600" w:lineRule="exact"/>
        <w:ind w:firstLine="480" w:firstLineChars="200"/>
        <w:jc w:val="left"/>
        <w:rPr>
          <w:rFonts w:ascii="Times New Roman" w:hAnsi="Times New Roman" w:eastAsia="宋体"/>
          <w:sz w:val="24"/>
          <w:szCs w:val="24"/>
        </w:rPr>
      </w:pPr>
    </w:p>
    <w:p w14:paraId="62596C45">
      <w:pPr>
        <w:pStyle w:val="11"/>
        <w:adjustRightInd w:val="0"/>
        <w:snapToGrid w:val="0"/>
        <w:spacing w:before="0" w:line="600" w:lineRule="exact"/>
        <w:ind w:firstLine="480" w:firstLineChars="200"/>
        <w:jc w:val="left"/>
        <w:rPr>
          <w:rFonts w:ascii="Times New Roman" w:hAnsi="Times New Roman" w:eastAsia="宋体"/>
          <w:sz w:val="24"/>
          <w:szCs w:val="24"/>
        </w:rPr>
      </w:pPr>
    </w:p>
    <w:p w14:paraId="2280D82A">
      <w:pPr>
        <w:pStyle w:val="11"/>
        <w:adjustRightInd w:val="0"/>
        <w:snapToGrid w:val="0"/>
        <w:spacing w:before="0" w:line="600" w:lineRule="exact"/>
        <w:ind w:firstLine="480" w:firstLineChars="200"/>
        <w:jc w:val="left"/>
        <w:rPr>
          <w:rFonts w:ascii="Times New Roman" w:hAnsi="Times New Roman" w:eastAsia="宋体"/>
          <w:sz w:val="24"/>
          <w:szCs w:val="24"/>
        </w:rPr>
      </w:pPr>
    </w:p>
    <w:p w14:paraId="27F2B352">
      <w:pPr>
        <w:pStyle w:val="11"/>
        <w:adjustRightInd w:val="0"/>
        <w:snapToGrid w:val="0"/>
        <w:spacing w:before="0" w:line="600" w:lineRule="exact"/>
        <w:ind w:firstLine="480" w:firstLineChars="200"/>
        <w:jc w:val="left"/>
        <w:rPr>
          <w:rFonts w:ascii="Times New Roman" w:hAnsi="Times New Roman" w:eastAsia="宋体"/>
          <w:sz w:val="24"/>
          <w:szCs w:val="24"/>
        </w:rPr>
      </w:pPr>
    </w:p>
    <w:p w14:paraId="07B01787">
      <w:pPr>
        <w:pStyle w:val="11"/>
        <w:adjustRightInd w:val="0"/>
        <w:snapToGrid w:val="0"/>
        <w:spacing w:before="0" w:line="600" w:lineRule="exact"/>
        <w:ind w:firstLine="480" w:firstLineChars="200"/>
        <w:jc w:val="left"/>
        <w:rPr>
          <w:rFonts w:ascii="Times New Roman" w:hAnsi="Times New Roman" w:eastAsia="宋体"/>
          <w:sz w:val="24"/>
          <w:szCs w:val="24"/>
        </w:rPr>
      </w:pPr>
    </w:p>
    <w:p w14:paraId="5C07A84C">
      <w:pPr>
        <w:pStyle w:val="11"/>
        <w:adjustRightInd w:val="0"/>
        <w:snapToGrid w:val="0"/>
        <w:spacing w:before="0" w:line="600" w:lineRule="exact"/>
        <w:ind w:firstLine="480" w:firstLineChars="200"/>
        <w:jc w:val="left"/>
        <w:rPr>
          <w:rFonts w:ascii="Times New Roman" w:hAnsi="Times New Roman" w:eastAsia="宋体"/>
          <w:sz w:val="24"/>
          <w:szCs w:val="24"/>
        </w:rPr>
      </w:pPr>
    </w:p>
    <w:p w14:paraId="7F00982E">
      <w:pPr>
        <w:pStyle w:val="11"/>
        <w:adjustRightInd w:val="0"/>
        <w:snapToGrid w:val="0"/>
        <w:spacing w:before="0" w:line="600" w:lineRule="exact"/>
        <w:ind w:firstLine="480" w:firstLineChars="200"/>
        <w:jc w:val="left"/>
        <w:rPr>
          <w:rFonts w:ascii="Times New Roman" w:hAnsi="Times New Roman" w:eastAsia="宋体"/>
          <w:sz w:val="24"/>
          <w:szCs w:val="24"/>
        </w:rPr>
      </w:pPr>
    </w:p>
    <w:p w14:paraId="2084EA37">
      <w:pPr>
        <w:pStyle w:val="11"/>
        <w:adjustRightInd w:val="0"/>
        <w:snapToGrid w:val="0"/>
        <w:spacing w:before="0" w:line="600" w:lineRule="exact"/>
        <w:ind w:firstLine="480" w:firstLineChars="200"/>
        <w:jc w:val="left"/>
        <w:rPr>
          <w:rFonts w:ascii="Times New Roman" w:hAnsi="Times New Roman" w:eastAsia="宋体"/>
          <w:sz w:val="24"/>
          <w:szCs w:val="24"/>
        </w:rPr>
      </w:pPr>
    </w:p>
    <w:p w14:paraId="0355A4D3">
      <w:pPr>
        <w:pStyle w:val="11"/>
        <w:adjustRightInd w:val="0"/>
        <w:snapToGrid w:val="0"/>
        <w:spacing w:before="0" w:line="600" w:lineRule="exact"/>
        <w:ind w:firstLine="480" w:firstLineChars="200"/>
        <w:jc w:val="left"/>
        <w:rPr>
          <w:rFonts w:ascii="Times New Roman" w:hAnsi="Times New Roman" w:eastAsia="宋体"/>
          <w:sz w:val="24"/>
          <w:szCs w:val="24"/>
        </w:rPr>
      </w:pPr>
    </w:p>
    <w:p w14:paraId="7C4E3259">
      <w:pPr>
        <w:pStyle w:val="11"/>
        <w:adjustRightInd w:val="0"/>
        <w:snapToGrid w:val="0"/>
        <w:spacing w:before="0" w:line="600" w:lineRule="exact"/>
        <w:ind w:firstLine="480" w:firstLineChars="200"/>
        <w:jc w:val="left"/>
        <w:rPr>
          <w:rFonts w:ascii="Times New Roman" w:hAnsi="Times New Roman" w:eastAsia="宋体"/>
          <w:sz w:val="24"/>
          <w:szCs w:val="24"/>
        </w:rPr>
      </w:pPr>
    </w:p>
    <w:p w14:paraId="62BAE476">
      <w:pPr>
        <w:pStyle w:val="11"/>
        <w:adjustRightInd w:val="0"/>
        <w:snapToGrid w:val="0"/>
        <w:spacing w:before="0" w:line="600" w:lineRule="exact"/>
        <w:ind w:firstLine="883" w:firstLineChars="200"/>
        <w:rPr>
          <w:rStyle w:val="25"/>
          <w:rFonts w:eastAsia="黑体"/>
        </w:rPr>
      </w:pPr>
      <w:r>
        <w:rPr>
          <w:rStyle w:val="25"/>
        </w:rPr>
        <w:t>第一部分</w:t>
      </w:r>
      <w:r>
        <w:rPr>
          <w:rStyle w:val="25"/>
          <w:rFonts w:hint="eastAsia"/>
        </w:rPr>
        <w:t xml:space="preserve"> </w:t>
      </w:r>
      <w:r>
        <w:rPr>
          <w:rStyle w:val="25"/>
          <w:rFonts w:eastAsia="黑体"/>
        </w:rPr>
        <w:t>部门概况</w:t>
      </w:r>
      <w:bookmarkEnd w:id="12"/>
      <w:bookmarkEnd w:id="13"/>
    </w:p>
    <w:p w14:paraId="370C6E50">
      <w:pPr>
        <w:pStyle w:val="4"/>
        <w:ind w:firstLine="640" w:firstLineChars="200"/>
        <w:rPr>
          <w:rStyle w:val="26"/>
          <w:rFonts w:ascii="Times New Roman" w:hAnsi="Times New Roman" w:eastAsia="仿宋" w:cs="Times New Roman"/>
          <w:b w:val="0"/>
          <w:bCs w:val="0"/>
        </w:rPr>
      </w:pPr>
      <w:bookmarkStart w:id="14" w:name="_Toc15396600"/>
      <w:bookmarkStart w:id="15" w:name="_Toc15377197"/>
      <w:r>
        <w:rPr>
          <w:rFonts w:ascii="Times New Roman" w:hAnsi="Times New Roman" w:eastAsia="黑体" w:cs="Times New Roman"/>
          <w:b w:val="0"/>
        </w:rPr>
        <w:t>一、基</w:t>
      </w:r>
      <w:r>
        <w:rPr>
          <w:rStyle w:val="26"/>
          <w:rFonts w:ascii="Times New Roman" w:hAnsi="Times New Roman" w:eastAsia="黑体" w:cs="Times New Roman"/>
          <w:b w:val="0"/>
          <w:bCs w:val="0"/>
        </w:rPr>
        <w:t>本职能及主要工作</w:t>
      </w:r>
      <w:bookmarkEnd w:id="14"/>
      <w:bookmarkEnd w:id="15"/>
    </w:p>
    <w:p w14:paraId="748E4A30">
      <w:pPr>
        <w:pStyle w:val="2"/>
        <w:adjustRightInd w:val="0"/>
        <w:snapToGrid w:val="0"/>
        <w:spacing w:before="93" w:line="600" w:lineRule="exact"/>
        <w:ind w:firstLine="672" w:firstLineChars="210"/>
        <w:outlineLvl w:val="2"/>
        <w:rPr>
          <w:rFonts w:ascii="Times New Roman" w:eastAsia="仿宋"/>
          <w:bCs/>
          <w:sz w:val="32"/>
          <w:szCs w:val="32"/>
        </w:rPr>
      </w:pPr>
      <w:bookmarkStart w:id="16" w:name="_Toc15377198"/>
      <w:bookmarkStart w:id="17" w:name="_Toc15378445"/>
      <w:r>
        <w:rPr>
          <w:rFonts w:ascii="Times New Roman" w:eastAsia="仿宋"/>
          <w:bCs/>
          <w:sz w:val="32"/>
          <w:szCs w:val="32"/>
        </w:rPr>
        <w:t>（一）主要职能。</w:t>
      </w:r>
      <w:bookmarkEnd w:id="16"/>
      <w:bookmarkEnd w:id="17"/>
      <w:bookmarkStart w:id="18" w:name="_Toc15378446"/>
      <w:bookmarkStart w:id="19" w:name="_Toc15377199"/>
    </w:p>
    <w:p w14:paraId="0B46B1E8">
      <w:pPr>
        <w:snapToGrid w:val="0"/>
        <w:spacing w:line="580" w:lineRule="exact"/>
        <w:ind w:firstLine="640" w:firstLineChars="200"/>
        <w:rPr>
          <w:rFonts w:eastAsia="仿宋_GB2312"/>
          <w:sz w:val="32"/>
          <w:szCs w:val="32"/>
        </w:rPr>
      </w:pPr>
      <w:r>
        <w:rPr>
          <w:rFonts w:eastAsia="仿宋_GB2312"/>
          <w:sz w:val="32"/>
          <w:szCs w:val="32"/>
        </w:rPr>
        <w:t>1、攀枝花市经济和信息化局（以下简称市经济和信息化局）是全市经济运行综合协调部门和全市工业经济、民营经济及信息产业的行业主管部门。负责职责范围内的安全生产和职业健康、生态环境保护、行政审批便民化工作；负责全市烟草工业发展、农业装备工业相关工作；负责全市盐业行业管理，组织编制盐业发展规划，制定并实施产业政策，承担食盐专营管理工作，负责医药行业管理。</w:t>
      </w:r>
    </w:p>
    <w:p w14:paraId="3894B416">
      <w:pPr>
        <w:snapToGrid w:val="0"/>
        <w:spacing w:line="580" w:lineRule="exact"/>
        <w:ind w:firstLine="640" w:firstLineChars="200"/>
        <w:rPr>
          <w:rFonts w:eastAsia="仿宋_GB2312"/>
          <w:sz w:val="32"/>
          <w:szCs w:val="32"/>
        </w:rPr>
      </w:pPr>
      <w:r>
        <w:rPr>
          <w:rFonts w:eastAsia="仿宋_GB2312"/>
          <w:sz w:val="32"/>
          <w:szCs w:val="32"/>
        </w:rPr>
        <w:t>2、攀枝花无线电监测站（市经济和信息化局下属事业单位）主要职能是进行电磁环境测试、分析，为无线电管理机构规划、指配频率和审批无线电站的建设布局等提供技术依据。监测无线电台站，查找干扰源和未经批准使用的无线电台站。负责攀枝花市内无线电发射设备检测。</w:t>
      </w:r>
    </w:p>
    <w:p w14:paraId="487F2114">
      <w:pPr>
        <w:pStyle w:val="2"/>
        <w:adjustRightInd w:val="0"/>
        <w:snapToGrid w:val="0"/>
        <w:spacing w:before="93" w:line="600" w:lineRule="exact"/>
        <w:ind w:firstLine="672" w:firstLineChars="210"/>
        <w:outlineLvl w:val="2"/>
        <w:rPr>
          <w:rFonts w:ascii="Times New Roman" w:eastAsia="仿宋"/>
          <w:bCs/>
          <w:sz w:val="32"/>
          <w:szCs w:val="32"/>
        </w:rPr>
      </w:pPr>
      <w:r>
        <w:rPr>
          <w:rFonts w:ascii="Times New Roman" w:eastAsia="仿宋"/>
          <w:bCs/>
          <w:sz w:val="32"/>
          <w:szCs w:val="32"/>
        </w:rPr>
        <w:t>（二）2021年重点工作完成情况。</w:t>
      </w:r>
      <w:bookmarkEnd w:id="18"/>
      <w:bookmarkEnd w:id="19"/>
    </w:p>
    <w:p w14:paraId="726AF830">
      <w:pPr>
        <w:widowControl/>
        <w:spacing w:line="580" w:lineRule="exact"/>
        <w:ind w:firstLine="640" w:firstLineChars="200"/>
        <w:jc w:val="left"/>
        <w:rPr>
          <w:rFonts w:eastAsia="仿宋_GB2312"/>
          <w:sz w:val="32"/>
          <w:szCs w:val="32"/>
        </w:rPr>
      </w:pPr>
      <w:r>
        <w:rPr>
          <w:rFonts w:eastAsia="仿宋"/>
          <w:sz w:val="32"/>
          <w:szCs w:val="32"/>
        </w:rPr>
        <w:t>1、保障</w:t>
      </w:r>
      <w:r>
        <w:rPr>
          <w:rFonts w:eastAsia="仿宋_GB2312"/>
          <w:sz w:val="32"/>
          <w:szCs w:val="32"/>
        </w:rPr>
        <w:t>工业经济平稳运行。2021年，市经济和信息化局深入实施工业强市战略，实现恢复性稳定增长。全市规上工业增加值同比增长10%，五年来首次追平全省平均增速，排全省第12位，高于省政府下达目标（8%）1.7个百分点。</w:t>
      </w:r>
    </w:p>
    <w:p w14:paraId="44C7DEF5">
      <w:pPr>
        <w:spacing w:line="580" w:lineRule="exact"/>
        <w:ind w:firstLine="640" w:firstLineChars="200"/>
        <w:rPr>
          <w:rFonts w:eastAsia="仿宋_GB2312"/>
          <w:sz w:val="32"/>
          <w:szCs w:val="32"/>
        </w:rPr>
      </w:pPr>
      <w:r>
        <w:rPr>
          <w:rFonts w:eastAsia="仿宋_GB2312"/>
          <w:sz w:val="32"/>
          <w:szCs w:val="32"/>
        </w:rPr>
        <w:t>2、加快工业增量培育。编印《攀枝花市工业和信息化招商工作指引》，扎实推进制造业招商引资“百日攻坚”行动，开展专题投资推介会4次、小分队招商70余次，成功签约攀钢3.5万吨海绵钛、龙蟒20万吨氯化钛白粉及稀有金属综合回收示范工程等制造业项目45个，签约金额215.1亿元，活动开展以来制造业招商项目累计新增到位资金61.96亿元。</w:t>
      </w:r>
    </w:p>
    <w:p w14:paraId="65455861">
      <w:pPr>
        <w:spacing w:line="580" w:lineRule="exact"/>
        <w:ind w:firstLine="640" w:firstLineChars="200"/>
        <w:rPr>
          <w:rFonts w:eastAsia="仿宋_GB2312"/>
          <w:sz w:val="32"/>
          <w:szCs w:val="32"/>
        </w:rPr>
      </w:pPr>
      <w:r>
        <w:rPr>
          <w:rFonts w:eastAsia="仿宋_GB2312"/>
          <w:sz w:val="32"/>
          <w:szCs w:val="32"/>
        </w:rPr>
        <w:t>3、加快工业项目推进。61个重大产业化项目加快推进，龙蟒50万吨攀西钛精矿升级转化氯化钛渣创新工程等18个重点项目竣工投产。通过引入新的投资者、司法重整等方式，富邦钒钛、丰源矿业等一批重大存量盘活项目取得实质性进展。全市工业投资、技改投资同比分别增长17.6%、21.9%，分别高于全省8.4个、5.6个百分点。</w:t>
      </w:r>
    </w:p>
    <w:p w14:paraId="02151B8A">
      <w:pPr>
        <w:spacing w:line="580" w:lineRule="exact"/>
        <w:ind w:firstLine="640" w:firstLineChars="200"/>
        <w:rPr>
          <w:rFonts w:eastAsia="仿宋_GB2312"/>
          <w:sz w:val="32"/>
          <w:szCs w:val="32"/>
        </w:rPr>
      </w:pPr>
      <w:r>
        <w:rPr>
          <w:rFonts w:eastAsia="仿宋_GB2312"/>
          <w:sz w:val="32"/>
          <w:szCs w:val="32"/>
        </w:rPr>
        <w:t>4、强化企业要素保障。积极落实水电消纳政策，3家发电企业与售电企业签约水电消纳电量11.5亿千瓦时；科学编制有序用电、柴油供应保障等应急方案，超额完成20万吨电煤储备任务，累计争取铁路运价优惠8320.6万元，累计购进煤炭648.7万吨、成品油78.5万吨、天然气1.24亿m³，同比分别增长8.1%、10.9%、16.7%，有效缓解柴油、天然气供应紧张局面。</w:t>
      </w:r>
    </w:p>
    <w:p w14:paraId="27001E05">
      <w:pPr>
        <w:snapToGrid w:val="0"/>
        <w:spacing w:line="580" w:lineRule="exact"/>
        <w:ind w:firstLine="640" w:firstLineChars="200"/>
        <w:rPr>
          <w:rFonts w:eastAsia="仿宋_GB2312"/>
          <w:sz w:val="32"/>
        </w:rPr>
      </w:pPr>
      <w:r>
        <w:rPr>
          <w:rFonts w:eastAsia="仿宋_GB2312"/>
          <w:sz w:val="32"/>
          <w:szCs w:val="32"/>
        </w:rPr>
        <w:t>5、做好无线电监测、检测。</w:t>
      </w:r>
      <w:r>
        <w:rPr>
          <w:rFonts w:eastAsia="仿宋_GB2312"/>
          <w:sz w:val="32"/>
        </w:rPr>
        <w:t>完成国家、省下达的无线电频谱月度监测任务，全年监测时间2000余小时。做好重要时段和重要行业无线电安全保障。参加无线电安全考试保障,维护考试公平。同时做好无线电发射设备检测，对在用无线电台（站）抽检和对新设无线电发射台（站）进行检测共20余台，监管我市在用无线电发射设备发射是否符合标准。</w:t>
      </w:r>
    </w:p>
    <w:p w14:paraId="3E6EC239">
      <w:pPr>
        <w:snapToGrid w:val="0"/>
        <w:spacing w:line="580" w:lineRule="exact"/>
        <w:ind w:firstLine="640" w:firstLineChars="200"/>
        <w:rPr>
          <w:rFonts w:eastAsia="仿宋_GB2312"/>
          <w:sz w:val="32"/>
        </w:rPr>
      </w:pPr>
      <w:r>
        <w:rPr>
          <w:rFonts w:eastAsia="仿宋_GB2312"/>
          <w:sz w:val="32"/>
        </w:rPr>
        <w:t>6、无线电监测设备设施建设维护。结合攀枝花无线电管理工作的需要，向省无线电办公室提交升级改造可研报告，向省站争取对现有7个遥控站进行局部改造完善，现已完成4个站点局部改造。委托专业机构对现有设备设施进行维护，安排专人督促跟踪设备设施运行维护情况，及时反馈监测设备运行情况，组织审核设备设施维修，对运行维护情况组织查勘验收。</w:t>
      </w:r>
    </w:p>
    <w:p w14:paraId="00411F5D">
      <w:pPr>
        <w:snapToGrid w:val="0"/>
        <w:spacing w:line="580" w:lineRule="exact"/>
        <w:ind w:firstLine="800" w:firstLineChars="250"/>
        <w:rPr>
          <w:rFonts w:eastAsia="仿宋_GB2312"/>
          <w:sz w:val="32"/>
        </w:rPr>
      </w:pPr>
      <w:r>
        <w:rPr>
          <w:sz w:val="32"/>
        </w:rPr>
        <w:t>7、</w:t>
      </w:r>
      <w:r>
        <w:rPr>
          <w:rFonts w:eastAsia="仿宋_GB2312"/>
          <w:sz w:val="32"/>
        </w:rPr>
        <w:t>加强无线电监测学习培训。组织3次业务学习，其中2次组织县区经信（科）局参加培训和演练，提升无线电监管技能，积极应对在我市进行大型考试保障。参加1次省站组织的设备应用培训，参加1次无线电监测技术集训和演练，与周边市州建立良好工作协同机制，高效协调排查跨区域信号交叉覆盖和干扰。</w:t>
      </w:r>
    </w:p>
    <w:p w14:paraId="21C01254">
      <w:pPr>
        <w:pStyle w:val="4"/>
        <w:ind w:firstLine="960" w:firstLineChars="300"/>
        <w:rPr>
          <w:rStyle w:val="26"/>
          <w:rFonts w:ascii="Times New Roman" w:hAnsi="Times New Roman" w:cs="Times New Roman"/>
          <w:b w:val="0"/>
          <w:bCs w:val="0"/>
        </w:rPr>
      </w:pPr>
      <w:bookmarkStart w:id="20" w:name="_Toc15396601"/>
      <w:bookmarkStart w:id="21" w:name="_Toc15377200"/>
      <w:r>
        <w:rPr>
          <w:rFonts w:ascii="Times New Roman" w:hAnsi="Times New Roman" w:eastAsia="黑体" w:cs="Times New Roman"/>
          <w:b w:val="0"/>
        </w:rPr>
        <w:t>二、机</w:t>
      </w:r>
      <w:r>
        <w:rPr>
          <w:rStyle w:val="26"/>
          <w:rFonts w:ascii="Times New Roman" w:hAnsi="Times New Roman" w:eastAsia="黑体" w:cs="Times New Roman"/>
          <w:b w:val="0"/>
          <w:bCs w:val="0"/>
        </w:rPr>
        <w:t>构设置</w:t>
      </w:r>
      <w:bookmarkEnd w:id="20"/>
      <w:bookmarkEnd w:id="21"/>
    </w:p>
    <w:p w14:paraId="1F5587D4">
      <w:pPr>
        <w:ind w:firstLine="800" w:firstLineChars="250"/>
        <w:rPr>
          <w:rFonts w:eastAsia="仿宋"/>
          <w:sz w:val="32"/>
          <w:szCs w:val="32"/>
        </w:rPr>
      </w:pPr>
      <w:r>
        <w:rPr>
          <w:rFonts w:eastAsia="仿宋"/>
          <w:sz w:val="32"/>
          <w:szCs w:val="32"/>
        </w:rPr>
        <w:t>市经济和信息化局下属二级单位4个，其中行政单位0个，参照公务员法管理的事业单位</w:t>
      </w:r>
      <w:r>
        <w:rPr>
          <w:rFonts w:eastAsia="仿宋"/>
          <w:bCs/>
          <w:sz w:val="32"/>
          <w:szCs w:val="32"/>
        </w:rPr>
        <w:t>1</w:t>
      </w:r>
      <w:r>
        <w:rPr>
          <w:rFonts w:eastAsia="仿宋"/>
          <w:sz w:val="32"/>
          <w:szCs w:val="32"/>
        </w:rPr>
        <w:t>个，其他事业单位3个。</w:t>
      </w:r>
    </w:p>
    <w:p w14:paraId="2F4C96A4">
      <w:pPr>
        <w:pStyle w:val="2"/>
        <w:adjustRightInd w:val="0"/>
        <w:snapToGrid w:val="0"/>
        <w:spacing w:before="93" w:line="600" w:lineRule="exact"/>
        <w:ind w:firstLine="672" w:firstLineChars="210"/>
        <w:rPr>
          <w:rFonts w:ascii="Times New Roman" w:eastAsia="仿宋"/>
          <w:sz w:val="32"/>
          <w:szCs w:val="32"/>
        </w:rPr>
      </w:pPr>
      <w:r>
        <w:rPr>
          <w:rFonts w:ascii="Times New Roman" w:eastAsia="仿宋"/>
          <w:sz w:val="32"/>
          <w:szCs w:val="32"/>
        </w:rPr>
        <w:t>纳入市经济和信息化局2021年度部门决算编制范围的二级预算单位包括：</w:t>
      </w:r>
    </w:p>
    <w:p w14:paraId="0AF27340">
      <w:pPr>
        <w:pStyle w:val="2"/>
        <w:numPr>
          <w:ilvl w:val="0"/>
          <w:numId w:val="1"/>
        </w:numPr>
        <w:adjustRightInd w:val="0"/>
        <w:snapToGrid w:val="0"/>
        <w:spacing w:before="93" w:line="600" w:lineRule="exact"/>
        <w:outlineLvl w:val="2"/>
        <w:rPr>
          <w:rFonts w:ascii="Times New Roman" w:eastAsia="仿宋"/>
          <w:sz w:val="32"/>
          <w:szCs w:val="32"/>
        </w:rPr>
      </w:pPr>
      <w:bookmarkStart w:id="22" w:name="_Toc15378449"/>
      <w:bookmarkStart w:id="23" w:name="_Toc15377202"/>
      <w:bookmarkStart w:id="24" w:name="_Toc15377433"/>
      <w:bookmarkStart w:id="25" w:name="_Toc15306276"/>
      <w:r>
        <w:rPr>
          <w:rFonts w:ascii="Times New Roman" w:eastAsia="仿宋"/>
          <w:sz w:val="32"/>
          <w:szCs w:val="32"/>
        </w:rPr>
        <w:t>攀枝花市能源监察支队</w:t>
      </w:r>
    </w:p>
    <w:p w14:paraId="7C9628F1">
      <w:pPr>
        <w:pStyle w:val="24"/>
        <w:numPr>
          <w:ilvl w:val="0"/>
          <w:numId w:val="1"/>
        </w:numPr>
        <w:adjustRightInd w:val="0"/>
        <w:snapToGrid w:val="0"/>
        <w:spacing w:before="72" w:line="600" w:lineRule="exact"/>
        <w:ind w:firstLineChars="0"/>
        <w:outlineLvl w:val="2"/>
        <w:rPr>
          <w:rFonts w:eastAsia="仿宋"/>
          <w:kern w:val="0"/>
          <w:sz w:val="32"/>
          <w:szCs w:val="32"/>
        </w:rPr>
      </w:pPr>
      <w:r>
        <w:rPr>
          <w:rFonts w:eastAsia="仿宋"/>
          <w:kern w:val="0"/>
          <w:sz w:val="32"/>
          <w:szCs w:val="32"/>
        </w:rPr>
        <w:t>攀枝花市经济与企业服务中心</w:t>
      </w:r>
    </w:p>
    <w:p w14:paraId="3FD4AF6D">
      <w:pPr>
        <w:pStyle w:val="24"/>
        <w:numPr>
          <w:ilvl w:val="0"/>
          <w:numId w:val="1"/>
        </w:numPr>
        <w:ind w:firstLineChars="0"/>
        <w:rPr>
          <w:rFonts w:eastAsia="仿宋"/>
          <w:kern w:val="0"/>
          <w:sz w:val="32"/>
          <w:szCs w:val="32"/>
        </w:rPr>
      </w:pPr>
      <w:r>
        <w:rPr>
          <w:rFonts w:eastAsia="仿宋"/>
          <w:kern w:val="0"/>
          <w:sz w:val="32"/>
          <w:szCs w:val="32"/>
        </w:rPr>
        <w:t>攀枝花市大数据产业发展中心</w:t>
      </w:r>
    </w:p>
    <w:p w14:paraId="3C727927">
      <w:pPr>
        <w:pStyle w:val="24"/>
        <w:numPr>
          <w:ilvl w:val="0"/>
          <w:numId w:val="1"/>
        </w:numPr>
        <w:ind w:firstLineChars="0"/>
        <w:rPr>
          <w:rFonts w:eastAsia="仿宋"/>
          <w:sz w:val="32"/>
          <w:szCs w:val="32"/>
        </w:rPr>
      </w:pPr>
      <w:r>
        <w:rPr>
          <w:rFonts w:eastAsia="仿宋"/>
          <w:kern w:val="0"/>
          <w:sz w:val="32"/>
          <w:szCs w:val="32"/>
        </w:rPr>
        <w:t>攀枝花无线电监测站</w:t>
      </w:r>
      <w:bookmarkEnd w:id="22"/>
      <w:bookmarkEnd w:id="23"/>
      <w:bookmarkEnd w:id="24"/>
      <w:bookmarkEnd w:id="25"/>
      <w:r>
        <w:rPr>
          <w:rFonts w:eastAsia="仿宋"/>
          <w:sz w:val="32"/>
          <w:szCs w:val="32"/>
        </w:rPr>
        <w:br w:type="page"/>
      </w:r>
    </w:p>
    <w:p w14:paraId="3C7AFFB4">
      <w:pPr>
        <w:pStyle w:val="3"/>
        <w:ind w:right="440"/>
        <w:jc w:val="center"/>
        <w:rPr>
          <w:rStyle w:val="25"/>
          <w:rFonts w:eastAsia="黑体"/>
          <w:b w:val="0"/>
          <w:bCs/>
        </w:rPr>
      </w:pPr>
      <w:bookmarkStart w:id="26" w:name="_Toc15377204"/>
      <w:bookmarkStart w:id="27" w:name="_Toc15396602"/>
      <w:r>
        <w:rPr>
          <w:rFonts w:eastAsia="黑体"/>
          <w:b w:val="0"/>
        </w:rPr>
        <w:t>第二部分 2021年度</w:t>
      </w:r>
      <w:r>
        <w:rPr>
          <w:rStyle w:val="25"/>
          <w:rFonts w:eastAsia="黑体"/>
          <w:b w:val="0"/>
          <w:bCs/>
        </w:rPr>
        <w:t>部门决算情况说明</w:t>
      </w:r>
      <w:bookmarkEnd w:id="26"/>
      <w:bookmarkEnd w:id="27"/>
    </w:p>
    <w:p w14:paraId="5C101243"/>
    <w:p w14:paraId="16A73F8A">
      <w:pPr>
        <w:pStyle w:val="24"/>
        <w:numPr>
          <w:ilvl w:val="0"/>
          <w:numId w:val="2"/>
        </w:numPr>
        <w:spacing w:line="600" w:lineRule="exact"/>
        <w:ind w:firstLineChars="0"/>
        <w:outlineLvl w:val="1"/>
        <w:rPr>
          <w:rStyle w:val="26"/>
          <w:rFonts w:ascii="Times New Roman" w:hAnsi="Times New Roman" w:eastAsia="黑体" w:cs="Times New Roman"/>
          <w:b w:val="0"/>
        </w:rPr>
      </w:pPr>
      <w:bookmarkStart w:id="28" w:name="_Toc15377205"/>
      <w:bookmarkStart w:id="29" w:name="_Toc15396603"/>
      <w:r>
        <w:rPr>
          <w:rFonts w:eastAsia="黑体"/>
          <w:sz w:val="32"/>
          <w:szCs w:val="32"/>
        </w:rPr>
        <w:t>收</w:t>
      </w:r>
      <w:r>
        <w:rPr>
          <w:rStyle w:val="26"/>
          <w:rFonts w:ascii="Times New Roman" w:hAnsi="Times New Roman" w:eastAsia="黑体" w:cs="Times New Roman"/>
          <w:b w:val="0"/>
        </w:rPr>
        <w:t>入支出决算总体情况说明</w:t>
      </w:r>
      <w:bookmarkEnd w:id="28"/>
      <w:bookmarkEnd w:id="29"/>
    </w:p>
    <w:p w14:paraId="666C8380">
      <w:pPr>
        <w:spacing w:line="600" w:lineRule="exact"/>
        <w:ind w:firstLine="640" w:firstLineChars="200"/>
        <w:rPr>
          <w:rFonts w:eastAsia="仿宋"/>
          <w:color w:val="000000"/>
          <w:sz w:val="32"/>
          <w:szCs w:val="32"/>
        </w:rPr>
      </w:pPr>
      <w:r>
        <w:rPr>
          <w:rFonts w:eastAsia="仿宋"/>
          <w:sz w:val="32"/>
          <w:szCs w:val="32"/>
        </w:rPr>
        <w:t>2021年度收、支总计2759.82万元。与2020年相比，收、支总计各减少1249.74万元，下降31.17%。主要变动原因是</w:t>
      </w:r>
      <w:r>
        <w:rPr>
          <w:rFonts w:eastAsia="仿宋"/>
          <w:color w:val="000000"/>
          <w:sz w:val="32"/>
          <w:szCs w:val="32"/>
        </w:rPr>
        <w:t>项目收支减少造成财政收支减少。</w:t>
      </w:r>
    </w:p>
    <w:p w14:paraId="123D1ABB">
      <w:pPr>
        <w:spacing w:line="600" w:lineRule="exact"/>
        <w:ind w:firstLine="640" w:firstLineChars="200"/>
        <w:rPr>
          <w:rFonts w:eastAsia="仿宋"/>
          <w:sz w:val="32"/>
          <w:szCs w:val="32"/>
        </w:rPr>
      </w:pPr>
      <w:r>
        <w:rPr>
          <w:rFonts w:eastAsia="仿宋"/>
          <w:sz w:val="32"/>
          <w:szCs w:val="32"/>
        </w:rPr>
        <w:t>图1：收、支决算总计变动情况图</w:t>
      </w:r>
    </w:p>
    <w:p w14:paraId="5E13CCFF">
      <w:pPr>
        <w:pStyle w:val="2"/>
        <w:spacing w:before="93"/>
        <w:rPr>
          <w:rFonts w:ascii="Times New Roman"/>
        </w:rPr>
      </w:pPr>
      <w:r>
        <w:rPr>
          <w:rFonts w:ascii="Times New Roman"/>
        </w:rPr>
        <w:drawing>
          <wp:inline distT="0" distB="0" distL="0" distR="0">
            <wp:extent cx="4572000" cy="2990215"/>
            <wp:effectExtent l="0" t="0" r="19050" b="1968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6C858C4">
      <w:pPr>
        <w:pStyle w:val="24"/>
        <w:numPr>
          <w:ilvl w:val="0"/>
          <w:numId w:val="2"/>
        </w:numPr>
        <w:spacing w:line="600" w:lineRule="exact"/>
        <w:ind w:firstLineChars="0"/>
        <w:outlineLvl w:val="1"/>
        <w:rPr>
          <w:rStyle w:val="26"/>
          <w:rFonts w:ascii="Times New Roman" w:hAnsi="Times New Roman" w:eastAsia="黑体" w:cs="Times New Roman"/>
          <w:b w:val="0"/>
        </w:rPr>
      </w:pPr>
      <w:bookmarkStart w:id="30" w:name="_Toc15377206"/>
      <w:bookmarkStart w:id="31" w:name="_Toc15396604"/>
      <w:r>
        <w:rPr>
          <w:rFonts w:eastAsia="黑体"/>
          <w:sz w:val="32"/>
          <w:szCs w:val="32"/>
        </w:rPr>
        <w:t>收</w:t>
      </w:r>
      <w:r>
        <w:rPr>
          <w:rStyle w:val="26"/>
          <w:rFonts w:ascii="Times New Roman" w:hAnsi="Times New Roman" w:eastAsia="黑体" w:cs="Times New Roman"/>
          <w:b w:val="0"/>
        </w:rPr>
        <w:t>入决算情况说明</w:t>
      </w:r>
      <w:bookmarkEnd w:id="30"/>
      <w:bookmarkEnd w:id="31"/>
    </w:p>
    <w:p w14:paraId="52B67BD0">
      <w:pPr>
        <w:spacing w:line="600" w:lineRule="exact"/>
        <w:ind w:firstLine="640" w:firstLineChars="200"/>
        <w:outlineLvl w:val="1"/>
        <w:rPr>
          <w:rFonts w:eastAsia="仿宋"/>
          <w:sz w:val="32"/>
          <w:szCs w:val="32"/>
        </w:rPr>
      </w:pPr>
      <w:r>
        <w:rPr>
          <w:rFonts w:eastAsia="仿宋"/>
          <w:sz w:val="32"/>
          <w:szCs w:val="32"/>
        </w:rPr>
        <w:t>2021年本年收入合计2278.96万元，其中：一般公共预算财政拨款收入2268.82万元，占99.56%；政府性基金预算财政拨款收入10万元，占0.44%；国有资本经营预算财政拨款收入0万元，占0%；上级补助收入0万元，占0%；事业收入0万元，占0%；经营收入0万元，占0%；附属单位上缴收入0万元，占0%；其他收入0.13万元，占0.01%。</w:t>
      </w:r>
    </w:p>
    <w:p w14:paraId="58D4C20C">
      <w:pPr>
        <w:spacing w:line="600" w:lineRule="exact"/>
        <w:ind w:firstLine="640" w:firstLineChars="200"/>
        <w:rPr>
          <w:rFonts w:eastAsia="仿宋"/>
          <w:sz w:val="32"/>
          <w:szCs w:val="32"/>
        </w:rPr>
      </w:pPr>
      <w:r>
        <w:rPr>
          <w:rFonts w:eastAsia="仿宋"/>
          <w:sz w:val="32"/>
          <w:szCs w:val="32"/>
        </w:rPr>
        <w:t>图2：收入决算结构图</w:t>
      </w:r>
    </w:p>
    <w:p w14:paraId="6710C12E">
      <w:pPr>
        <w:pStyle w:val="2"/>
        <w:spacing w:before="93"/>
        <w:rPr>
          <w:rFonts w:ascii="Times New Roman"/>
        </w:rPr>
      </w:pPr>
      <w:r>
        <w:rPr>
          <w:rFonts w:ascii="Times New Roman"/>
        </w:rPr>
        <w:drawing>
          <wp:inline distT="0" distB="0" distL="0" distR="0">
            <wp:extent cx="4572000" cy="2743200"/>
            <wp:effectExtent l="19050" t="0" r="190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FE0B5E4">
      <w:pPr>
        <w:pStyle w:val="24"/>
        <w:numPr>
          <w:ilvl w:val="0"/>
          <w:numId w:val="2"/>
        </w:numPr>
        <w:spacing w:line="600" w:lineRule="exact"/>
        <w:ind w:firstLineChars="0"/>
        <w:outlineLvl w:val="1"/>
        <w:rPr>
          <w:rStyle w:val="26"/>
          <w:rFonts w:ascii="Times New Roman" w:hAnsi="Times New Roman" w:eastAsia="黑体" w:cs="Times New Roman"/>
          <w:b w:val="0"/>
        </w:rPr>
      </w:pPr>
      <w:bookmarkStart w:id="32" w:name="_Toc15377207"/>
      <w:bookmarkStart w:id="33" w:name="_Toc15396605"/>
      <w:r>
        <w:rPr>
          <w:rFonts w:eastAsia="黑体"/>
          <w:sz w:val="32"/>
          <w:szCs w:val="32"/>
        </w:rPr>
        <w:t>支</w:t>
      </w:r>
      <w:r>
        <w:rPr>
          <w:rStyle w:val="26"/>
          <w:rFonts w:ascii="Times New Roman" w:hAnsi="Times New Roman" w:eastAsia="黑体" w:cs="Times New Roman"/>
          <w:b w:val="0"/>
        </w:rPr>
        <w:t>出决算情况说明</w:t>
      </w:r>
      <w:bookmarkEnd w:id="32"/>
      <w:bookmarkEnd w:id="33"/>
    </w:p>
    <w:p w14:paraId="60E4CDCF">
      <w:pPr>
        <w:spacing w:line="600" w:lineRule="exact"/>
        <w:ind w:firstLine="640" w:firstLineChars="200"/>
        <w:outlineLvl w:val="1"/>
        <w:rPr>
          <w:rFonts w:eastAsia="仿宋"/>
          <w:sz w:val="32"/>
          <w:szCs w:val="32"/>
        </w:rPr>
      </w:pPr>
      <w:r>
        <w:rPr>
          <w:rFonts w:eastAsia="仿宋"/>
          <w:sz w:val="32"/>
          <w:szCs w:val="32"/>
        </w:rPr>
        <w:t>2021年本年支出合计2322.11万元，其中：基本支出2096.19万元，占90.27%；项目支出225.92万元，占9.73%；上缴上级支出0万元，占0%；经营支出0万元，占0%；对附属单位补助支出0万元，占0%。</w:t>
      </w:r>
    </w:p>
    <w:p w14:paraId="63294CDA">
      <w:pPr>
        <w:spacing w:line="600" w:lineRule="exact"/>
        <w:ind w:firstLine="640" w:firstLineChars="200"/>
        <w:rPr>
          <w:rFonts w:eastAsia="仿宋"/>
          <w:sz w:val="32"/>
          <w:szCs w:val="32"/>
        </w:rPr>
      </w:pPr>
      <w:r>
        <w:rPr>
          <w:rFonts w:eastAsia="仿宋"/>
          <w:sz w:val="32"/>
          <w:szCs w:val="32"/>
        </w:rPr>
        <w:t>图3：支出决算结构图</w:t>
      </w:r>
    </w:p>
    <w:p w14:paraId="38B7502D">
      <w:pPr>
        <w:pStyle w:val="2"/>
        <w:spacing w:before="93"/>
        <w:rPr>
          <w:rFonts w:ascii="Times New Roman"/>
        </w:rPr>
      </w:pPr>
      <w:r>
        <w:rPr>
          <w:rFonts w:ascii="Times New Roman"/>
        </w:rPr>
        <w:drawing>
          <wp:inline distT="0" distB="0" distL="0" distR="0">
            <wp:extent cx="4572000" cy="2743200"/>
            <wp:effectExtent l="0" t="0" r="19050" b="190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1CA154">
      <w:pPr>
        <w:spacing w:line="600" w:lineRule="exact"/>
        <w:ind w:firstLine="640" w:firstLineChars="200"/>
        <w:outlineLvl w:val="1"/>
        <w:rPr>
          <w:rStyle w:val="26"/>
          <w:rFonts w:ascii="Times New Roman" w:hAnsi="Times New Roman" w:eastAsia="黑体" w:cs="Times New Roman"/>
          <w:b w:val="0"/>
        </w:rPr>
      </w:pPr>
      <w:bookmarkStart w:id="34" w:name="_Toc15396606"/>
      <w:bookmarkStart w:id="35" w:name="_Toc15377208"/>
      <w:r>
        <w:rPr>
          <w:rFonts w:eastAsia="黑体"/>
          <w:sz w:val="32"/>
          <w:szCs w:val="32"/>
        </w:rPr>
        <w:t>四、财</w:t>
      </w:r>
      <w:r>
        <w:rPr>
          <w:rStyle w:val="26"/>
          <w:rFonts w:ascii="Times New Roman" w:hAnsi="Times New Roman" w:eastAsia="黑体" w:cs="Times New Roman"/>
          <w:b w:val="0"/>
        </w:rPr>
        <w:t>政拨款收入支出决算总体情况说明</w:t>
      </w:r>
      <w:bookmarkEnd w:id="34"/>
      <w:bookmarkEnd w:id="35"/>
    </w:p>
    <w:p w14:paraId="713CC932">
      <w:pPr>
        <w:spacing w:line="600" w:lineRule="exact"/>
        <w:ind w:firstLine="640"/>
        <w:rPr>
          <w:rFonts w:eastAsia="仿宋"/>
          <w:b/>
          <w:sz w:val="32"/>
          <w:szCs w:val="32"/>
        </w:rPr>
      </w:pPr>
      <w:r>
        <w:rPr>
          <w:rFonts w:eastAsia="仿宋"/>
          <w:sz w:val="32"/>
          <w:szCs w:val="32"/>
        </w:rPr>
        <w:t>2021年财政拨款收、支总计2278.82万元。与2020年相比，财政拨款收、支总计各减少1,857.59 万元，下降40.24%。主要变动原因是</w:t>
      </w:r>
      <w:r>
        <w:rPr>
          <w:rFonts w:eastAsia="仿宋"/>
          <w:color w:val="000000"/>
          <w:sz w:val="32"/>
          <w:szCs w:val="32"/>
        </w:rPr>
        <w:t>项目收支减少造成财政收支减少。</w:t>
      </w:r>
    </w:p>
    <w:p w14:paraId="6F8E6B77">
      <w:pPr>
        <w:spacing w:line="600" w:lineRule="exact"/>
        <w:ind w:firstLine="640" w:firstLineChars="200"/>
        <w:rPr>
          <w:rFonts w:eastAsia="仿宋"/>
          <w:sz w:val="32"/>
          <w:szCs w:val="32"/>
        </w:rPr>
      </w:pPr>
      <w:r>
        <w:rPr>
          <w:rFonts w:eastAsia="仿宋"/>
          <w:sz w:val="32"/>
          <w:szCs w:val="32"/>
        </w:rPr>
        <w:t>图4：财政拨款收、支决算总计变动情况</w:t>
      </w:r>
    </w:p>
    <w:p w14:paraId="1067FECF">
      <w:pPr>
        <w:pStyle w:val="2"/>
        <w:spacing w:before="93"/>
        <w:rPr>
          <w:rFonts w:ascii="Times New Roman"/>
        </w:rPr>
      </w:pPr>
      <w:r>
        <w:rPr>
          <w:rFonts w:ascii="Times New Roman"/>
        </w:rPr>
        <w:drawing>
          <wp:inline distT="0" distB="0" distL="0" distR="0">
            <wp:extent cx="4572000" cy="2743200"/>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D79785">
      <w:pPr>
        <w:spacing w:line="600" w:lineRule="exact"/>
        <w:ind w:firstLine="640" w:firstLineChars="200"/>
        <w:outlineLvl w:val="1"/>
        <w:rPr>
          <w:rStyle w:val="26"/>
          <w:rFonts w:ascii="Times New Roman" w:hAnsi="Times New Roman" w:eastAsia="黑体" w:cs="Times New Roman"/>
          <w:b w:val="0"/>
        </w:rPr>
      </w:pPr>
      <w:bookmarkStart w:id="36" w:name="_Toc15377209"/>
      <w:bookmarkStart w:id="37" w:name="_Toc15396607"/>
      <w:r>
        <w:rPr>
          <w:rFonts w:eastAsia="黑体"/>
          <w:sz w:val="32"/>
          <w:szCs w:val="32"/>
        </w:rPr>
        <w:t>五、</w:t>
      </w:r>
      <w:r>
        <w:rPr>
          <w:rFonts w:eastAsia="黑体"/>
          <w:b/>
          <w:sz w:val="32"/>
          <w:szCs w:val="32"/>
        </w:rPr>
        <w:t>一</w:t>
      </w:r>
      <w:r>
        <w:rPr>
          <w:rStyle w:val="26"/>
          <w:rFonts w:ascii="Times New Roman" w:hAnsi="Times New Roman" w:eastAsia="黑体" w:cs="Times New Roman"/>
          <w:b w:val="0"/>
        </w:rPr>
        <w:t>般公共预算财政拨款支出决算情况说明</w:t>
      </w:r>
      <w:bookmarkEnd w:id="36"/>
      <w:bookmarkEnd w:id="37"/>
    </w:p>
    <w:p w14:paraId="74C610F1">
      <w:pPr>
        <w:spacing w:line="600" w:lineRule="exact"/>
        <w:ind w:firstLine="643" w:firstLineChars="200"/>
        <w:outlineLvl w:val="2"/>
        <w:rPr>
          <w:rFonts w:eastAsia="仿宋"/>
          <w:b/>
          <w:sz w:val="32"/>
          <w:szCs w:val="32"/>
        </w:rPr>
      </w:pPr>
      <w:bookmarkStart w:id="38" w:name="_Toc15377210"/>
      <w:r>
        <w:rPr>
          <w:rFonts w:eastAsia="仿宋"/>
          <w:b/>
          <w:sz w:val="32"/>
          <w:szCs w:val="32"/>
        </w:rPr>
        <w:t>（一）一般公共预算财政拨款支出决算总体情况</w:t>
      </w:r>
      <w:bookmarkEnd w:id="38"/>
    </w:p>
    <w:p w14:paraId="629FF26B">
      <w:pPr>
        <w:spacing w:line="600" w:lineRule="exact"/>
        <w:ind w:firstLine="640" w:firstLineChars="200"/>
        <w:rPr>
          <w:rFonts w:eastAsia="仿宋"/>
          <w:sz w:val="32"/>
          <w:szCs w:val="32"/>
        </w:rPr>
      </w:pPr>
      <w:r>
        <w:rPr>
          <w:rFonts w:eastAsia="仿宋"/>
          <w:sz w:val="32"/>
          <w:szCs w:val="32"/>
        </w:rPr>
        <w:t>2021年一般公共预算财政拨款支出2308.11万元，占本年支出合计的99.41%。与2020年相比，一般公共预算财政拨款支出减少1069.82万元，下降31.67%。主要变动原因是</w:t>
      </w:r>
      <w:r>
        <w:rPr>
          <w:rFonts w:eastAsia="仿宋"/>
          <w:color w:val="000000"/>
          <w:sz w:val="32"/>
          <w:szCs w:val="32"/>
        </w:rPr>
        <w:t>项目收支减少造成财政收支减少。</w:t>
      </w:r>
    </w:p>
    <w:p w14:paraId="67628410">
      <w:pPr>
        <w:spacing w:line="600" w:lineRule="exact"/>
        <w:ind w:firstLine="640" w:firstLineChars="200"/>
        <w:rPr>
          <w:rFonts w:eastAsia="仿宋"/>
          <w:sz w:val="32"/>
          <w:szCs w:val="32"/>
        </w:rPr>
      </w:pPr>
      <w:r>
        <w:rPr>
          <w:rFonts w:eastAsia="仿宋"/>
          <w:sz w:val="32"/>
          <w:szCs w:val="32"/>
        </w:rPr>
        <w:t>图5：一般公共预算财政拨款支出决算变动情况</w:t>
      </w:r>
    </w:p>
    <w:p w14:paraId="37A8E9E3">
      <w:pPr>
        <w:pStyle w:val="2"/>
        <w:spacing w:before="93"/>
        <w:rPr>
          <w:rFonts w:ascii="Times New Roman"/>
        </w:rPr>
      </w:pPr>
      <w:r>
        <w:rPr>
          <w:rFonts w:ascii="Times New Roman"/>
        </w:rPr>
        <w:drawing>
          <wp:inline distT="0" distB="0" distL="0" distR="0">
            <wp:extent cx="4572000" cy="2743200"/>
            <wp:effectExtent l="0" t="0" r="19050" b="1905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A83B6F">
      <w:pPr>
        <w:spacing w:line="600" w:lineRule="exact"/>
        <w:ind w:firstLine="643" w:firstLineChars="200"/>
        <w:outlineLvl w:val="2"/>
        <w:rPr>
          <w:rFonts w:eastAsia="仿宋"/>
          <w:b/>
          <w:sz w:val="32"/>
          <w:szCs w:val="32"/>
        </w:rPr>
      </w:pPr>
      <w:bookmarkStart w:id="39" w:name="_Toc15377211"/>
      <w:r>
        <w:rPr>
          <w:rFonts w:eastAsia="仿宋"/>
          <w:b/>
          <w:sz w:val="32"/>
          <w:szCs w:val="32"/>
        </w:rPr>
        <w:t>（二）一般公共预算财政拨款支出决算结构情况</w:t>
      </w:r>
      <w:bookmarkEnd w:id="39"/>
    </w:p>
    <w:p w14:paraId="11CB6CF9">
      <w:pPr>
        <w:spacing w:line="600" w:lineRule="exact"/>
        <w:ind w:firstLine="640"/>
        <w:rPr>
          <w:rFonts w:eastAsia="仿宋"/>
          <w:sz w:val="32"/>
          <w:szCs w:val="32"/>
        </w:rPr>
      </w:pPr>
      <w:r>
        <w:rPr>
          <w:rFonts w:eastAsia="仿宋"/>
          <w:sz w:val="32"/>
          <w:szCs w:val="32"/>
        </w:rPr>
        <w:t>2021年一般公共预算财政拨款支出2308.11万元，主要用于以下方面:</w:t>
      </w:r>
      <w:r>
        <w:rPr>
          <w:rFonts w:eastAsia="仿宋"/>
          <w:b/>
          <w:sz w:val="32"/>
          <w:szCs w:val="32"/>
        </w:rPr>
        <w:t>一般公共服务（类）</w:t>
      </w:r>
      <w:r>
        <w:rPr>
          <w:rFonts w:eastAsia="仿宋"/>
          <w:sz w:val="32"/>
          <w:szCs w:val="32"/>
        </w:rPr>
        <w:t>支出1415.88万元，占61.34%；</w:t>
      </w:r>
      <w:r>
        <w:rPr>
          <w:rFonts w:eastAsia="仿宋"/>
          <w:b/>
          <w:sz w:val="32"/>
          <w:szCs w:val="32"/>
        </w:rPr>
        <w:t>科学技术（类）</w:t>
      </w:r>
      <w:r>
        <w:rPr>
          <w:rFonts w:eastAsia="仿宋"/>
          <w:sz w:val="32"/>
          <w:szCs w:val="32"/>
        </w:rPr>
        <w:t>支出84.55万元，占3.66%；</w:t>
      </w:r>
      <w:r>
        <w:rPr>
          <w:rFonts w:eastAsia="仿宋"/>
          <w:b/>
          <w:sz w:val="32"/>
          <w:szCs w:val="32"/>
        </w:rPr>
        <w:t>社会保障和就业（类）</w:t>
      </w:r>
      <w:r>
        <w:rPr>
          <w:rFonts w:eastAsia="仿宋"/>
          <w:sz w:val="32"/>
          <w:szCs w:val="32"/>
        </w:rPr>
        <w:t>支出506.25万元，占21.94%；</w:t>
      </w:r>
      <w:r>
        <w:rPr>
          <w:rFonts w:eastAsia="仿宋"/>
          <w:bCs/>
          <w:sz w:val="32"/>
          <w:szCs w:val="32"/>
        </w:rPr>
        <w:t>资源勘探工业信息等支出</w:t>
      </w:r>
      <w:r>
        <w:rPr>
          <w:rFonts w:eastAsia="仿宋"/>
          <w:sz w:val="32"/>
          <w:szCs w:val="32"/>
        </w:rPr>
        <w:t>182.6万元，占7.91%；住房保障支出118.83万元，占5.15%。</w:t>
      </w:r>
    </w:p>
    <w:p w14:paraId="2FD94FF1">
      <w:pPr>
        <w:spacing w:line="600" w:lineRule="exact"/>
        <w:ind w:firstLine="640" w:firstLineChars="200"/>
        <w:rPr>
          <w:rFonts w:eastAsia="仿宋"/>
          <w:sz w:val="32"/>
          <w:szCs w:val="32"/>
        </w:rPr>
      </w:pPr>
      <w:r>
        <w:rPr>
          <w:rFonts w:eastAsia="仿宋"/>
          <w:sz w:val="32"/>
          <w:szCs w:val="32"/>
        </w:rPr>
        <w:t>图6：一般公共预算财政拨款支出决算结构</w:t>
      </w:r>
    </w:p>
    <w:p w14:paraId="51058B9A">
      <w:pPr>
        <w:pStyle w:val="2"/>
        <w:spacing w:before="93"/>
        <w:rPr>
          <w:rFonts w:ascii="Times New Roman"/>
        </w:rPr>
      </w:pPr>
      <w:r>
        <w:rPr>
          <w:rFonts w:ascii="Times New Roman"/>
        </w:rPr>
        <w:drawing>
          <wp:inline distT="0" distB="0" distL="0" distR="0">
            <wp:extent cx="4572000" cy="2743200"/>
            <wp:effectExtent l="19050" t="0" r="1905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52DCF43">
      <w:pPr>
        <w:spacing w:line="600" w:lineRule="exact"/>
        <w:ind w:firstLine="643" w:firstLineChars="200"/>
        <w:outlineLvl w:val="2"/>
        <w:rPr>
          <w:rFonts w:eastAsia="仿宋"/>
          <w:b/>
          <w:sz w:val="32"/>
          <w:szCs w:val="32"/>
        </w:rPr>
      </w:pPr>
      <w:bookmarkStart w:id="40" w:name="_Toc15377212"/>
      <w:r>
        <w:rPr>
          <w:rFonts w:eastAsia="仿宋"/>
          <w:b/>
          <w:sz w:val="32"/>
          <w:szCs w:val="32"/>
        </w:rPr>
        <w:t>（三）一般公共预算财政拨款支出决算具体情况</w:t>
      </w:r>
      <w:bookmarkEnd w:id="40"/>
    </w:p>
    <w:p w14:paraId="1CBCCE53">
      <w:pPr>
        <w:spacing w:line="600" w:lineRule="exact"/>
        <w:ind w:firstLine="643" w:firstLineChars="200"/>
        <w:outlineLvl w:val="2"/>
        <w:rPr>
          <w:rFonts w:eastAsia="仿宋"/>
          <w:sz w:val="32"/>
          <w:szCs w:val="32"/>
        </w:rPr>
      </w:pPr>
      <w:bookmarkStart w:id="41" w:name="_Toc15377444"/>
      <w:bookmarkStart w:id="42" w:name="_Toc15378460"/>
      <w:bookmarkStart w:id="43" w:name="_Toc15377213"/>
      <w:r>
        <w:rPr>
          <w:rFonts w:eastAsia="仿宋"/>
          <w:b/>
          <w:sz w:val="32"/>
          <w:szCs w:val="32"/>
        </w:rPr>
        <w:t>2021年一般公共预算支出决算数为2308.11万元</w:t>
      </w:r>
      <w:r>
        <w:rPr>
          <w:rFonts w:eastAsia="仿宋"/>
          <w:sz w:val="32"/>
          <w:szCs w:val="32"/>
        </w:rPr>
        <w:t>，</w:t>
      </w:r>
      <w:r>
        <w:rPr>
          <w:rStyle w:val="15"/>
          <w:rFonts w:eastAsia="仿宋"/>
          <w:bCs/>
          <w:sz w:val="32"/>
          <w:szCs w:val="32"/>
        </w:rPr>
        <w:t>完成预算100%。其中：</w:t>
      </w:r>
      <w:bookmarkEnd w:id="41"/>
      <w:bookmarkEnd w:id="42"/>
      <w:bookmarkEnd w:id="43"/>
    </w:p>
    <w:p w14:paraId="738D89FC">
      <w:pPr>
        <w:spacing w:line="600" w:lineRule="exact"/>
        <w:ind w:firstLine="643" w:firstLineChars="200"/>
        <w:rPr>
          <w:rStyle w:val="15"/>
          <w:rFonts w:eastAsia="仿宋"/>
          <w:bCs/>
          <w:sz w:val="32"/>
          <w:szCs w:val="32"/>
        </w:rPr>
      </w:pPr>
      <w:r>
        <w:rPr>
          <w:rStyle w:val="15"/>
          <w:rFonts w:eastAsia="仿宋"/>
          <w:bCs/>
          <w:sz w:val="32"/>
          <w:szCs w:val="32"/>
        </w:rPr>
        <w:t>1.</w:t>
      </w:r>
      <w:r>
        <w:rPr>
          <w:rFonts w:eastAsia="仿宋"/>
          <w:bCs/>
          <w:color w:val="000000"/>
          <w:sz w:val="32"/>
          <w:szCs w:val="32"/>
        </w:rPr>
        <w:t xml:space="preserve"> </w:t>
      </w:r>
      <w:r>
        <w:rPr>
          <w:rStyle w:val="15"/>
          <w:rFonts w:eastAsia="仿宋"/>
          <w:bCs/>
          <w:color w:val="000000"/>
          <w:sz w:val="32"/>
          <w:szCs w:val="32"/>
        </w:rPr>
        <w:t>一般公共服务（类）商贸事务（款）行政运行（项）:</w:t>
      </w:r>
      <w:r>
        <w:rPr>
          <w:rStyle w:val="15"/>
          <w:rFonts w:eastAsia="仿宋"/>
          <w:b w:val="0"/>
          <w:bCs/>
          <w:color w:val="000000"/>
          <w:sz w:val="32"/>
          <w:szCs w:val="32"/>
        </w:rPr>
        <w:t>支出决算为1415.88万元，完成预算100%。</w:t>
      </w:r>
    </w:p>
    <w:p w14:paraId="0CD231D6">
      <w:pPr>
        <w:spacing w:line="600" w:lineRule="exact"/>
        <w:ind w:firstLine="643" w:firstLineChars="200"/>
        <w:rPr>
          <w:rFonts w:eastAsia="仿宋"/>
          <w:b/>
          <w:sz w:val="32"/>
          <w:szCs w:val="32"/>
        </w:rPr>
      </w:pPr>
      <w:r>
        <w:rPr>
          <w:rStyle w:val="15"/>
          <w:rFonts w:eastAsia="仿宋"/>
          <w:bCs/>
          <w:sz w:val="32"/>
          <w:szCs w:val="32"/>
        </w:rPr>
        <w:t>2.</w:t>
      </w:r>
      <w:r>
        <w:rPr>
          <w:rStyle w:val="15"/>
          <w:rFonts w:eastAsia="仿宋"/>
          <w:bCs/>
          <w:color w:val="000000"/>
          <w:sz w:val="32"/>
          <w:szCs w:val="32"/>
        </w:rPr>
        <w:t xml:space="preserve"> 一般公共服务（类）商贸事务（款）招商引资（项）</w:t>
      </w:r>
      <w:r>
        <w:rPr>
          <w:rStyle w:val="15"/>
          <w:rFonts w:eastAsia="仿宋"/>
          <w:bCs/>
          <w:sz w:val="32"/>
          <w:szCs w:val="32"/>
        </w:rPr>
        <w:t>:</w:t>
      </w:r>
      <w:r>
        <w:rPr>
          <w:rStyle w:val="15"/>
          <w:rFonts w:eastAsia="仿宋"/>
          <w:b w:val="0"/>
          <w:bCs/>
          <w:sz w:val="32"/>
          <w:szCs w:val="32"/>
        </w:rPr>
        <w:t xml:space="preserve"> 支出决算为31.66万元，完成预算100%。</w:t>
      </w:r>
    </w:p>
    <w:p w14:paraId="29194665">
      <w:pPr>
        <w:spacing w:line="600" w:lineRule="exact"/>
        <w:ind w:firstLine="643" w:firstLineChars="200"/>
        <w:rPr>
          <w:rStyle w:val="15"/>
          <w:rFonts w:eastAsia="仿宋"/>
          <w:b w:val="0"/>
          <w:bCs/>
          <w:sz w:val="32"/>
          <w:szCs w:val="32"/>
        </w:rPr>
      </w:pPr>
      <w:r>
        <w:rPr>
          <w:rStyle w:val="15"/>
          <w:rFonts w:eastAsia="仿宋"/>
          <w:bCs/>
          <w:sz w:val="32"/>
          <w:szCs w:val="32"/>
        </w:rPr>
        <w:t>3.</w:t>
      </w:r>
      <w:r>
        <w:rPr>
          <w:rStyle w:val="15"/>
          <w:rFonts w:eastAsia="仿宋"/>
          <w:bCs/>
          <w:color w:val="000000"/>
          <w:sz w:val="32"/>
          <w:szCs w:val="32"/>
        </w:rPr>
        <w:t xml:space="preserve"> 一般公共服务（类）商贸事务（款）事业运行（项）</w:t>
      </w:r>
      <w:r>
        <w:rPr>
          <w:rStyle w:val="15"/>
          <w:rFonts w:eastAsia="仿宋"/>
          <w:bCs/>
          <w:sz w:val="32"/>
          <w:szCs w:val="32"/>
        </w:rPr>
        <w:t>:</w:t>
      </w:r>
      <w:r>
        <w:rPr>
          <w:rStyle w:val="15"/>
          <w:rFonts w:eastAsia="仿宋"/>
          <w:b w:val="0"/>
          <w:bCs/>
          <w:sz w:val="32"/>
          <w:szCs w:val="32"/>
        </w:rPr>
        <w:t xml:space="preserve"> 支出决算为93.35万元，完成预算100%。</w:t>
      </w:r>
    </w:p>
    <w:p w14:paraId="1A0DCAE7">
      <w:pPr>
        <w:spacing w:line="600" w:lineRule="exact"/>
        <w:ind w:firstLine="643" w:firstLineChars="200"/>
        <w:rPr>
          <w:rFonts w:eastAsia="仿宋"/>
          <w:b/>
          <w:sz w:val="32"/>
          <w:szCs w:val="32"/>
        </w:rPr>
      </w:pPr>
      <w:r>
        <w:rPr>
          <w:rStyle w:val="15"/>
          <w:rFonts w:eastAsia="仿宋"/>
          <w:bCs/>
          <w:sz w:val="32"/>
          <w:szCs w:val="32"/>
        </w:rPr>
        <w:t xml:space="preserve">4. </w:t>
      </w:r>
      <w:r>
        <w:rPr>
          <w:rStyle w:val="15"/>
          <w:rFonts w:eastAsia="仿宋"/>
          <w:bCs/>
          <w:color w:val="000000"/>
          <w:sz w:val="32"/>
          <w:szCs w:val="32"/>
        </w:rPr>
        <w:t>一般公共服务（类）组织事务（款）其他组织事务支出（项）:</w:t>
      </w:r>
      <w:r>
        <w:rPr>
          <w:rStyle w:val="15"/>
          <w:rFonts w:eastAsia="仿宋"/>
          <w:b w:val="0"/>
          <w:bCs/>
          <w:color w:val="000000"/>
          <w:sz w:val="32"/>
          <w:szCs w:val="32"/>
        </w:rPr>
        <w:t>支出决算为10.5万元，完成预算100%</w:t>
      </w:r>
      <w:r>
        <w:rPr>
          <w:rStyle w:val="15"/>
          <w:rFonts w:eastAsia="仿宋"/>
          <w:b w:val="0"/>
          <w:bCs/>
          <w:sz w:val="32"/>
          <w:szCs w:val="32"/>
        </w:rPr>
        <w:t>。</w:t>
      </w:r>
    </w:p>
    <w:p w14:paraId="44076181">
      <w:pPr>
        <w:spacing w:line="600" w:lineRule="exact"/>
        <w:ind w:firstLine="643" w:firstLineChars="200"/>
        <w:rPr>
          <w:rFonts w:eastAsia="仿宋"/>
          <w:b/>
          <w:color w:val="000000"/>
          <w:sz w:val="32"/>
          <w:szCs w:val="32"/>
        </w:rPr>
      </w:pPr>
      <w:r>
        <w:rPr>
          <w:rStyle w:val="15"/>
          <w:rFonts w:eastAsia="仿宋"/>
          <w:bCs/>
          <w:sz w:val="32"/>
          <w:szCs w:val="32"/>
        </w:rPr>
        <w:t>5.</w:t>
      </w:r>
      <w:r>
        <w:rPr>
          <w:rStyle w:val="15"/>
          <w:rFonts w:eastAsia="仿宋"/>
          <w:bCs/>
          <w:color w:val="000000"/>
          <w:sz w:val="32"/>
          <w:szCs w:val="32"/>
        </w:rPr>
        <w:t xml:space="preserve"> 科学技术（类）科学技术管理事务（款）其他科学技术管理事务支出（项）:</w:t>
      </w:r>
      <w:r>
        <w:rPr>
          <w:rStyle w:val="15"/>
          <w:rFonts w:eastAsia="仿宋"/>
          <w:b w:val="0"/>
          <w:bCs/>
          <w:color w:val="000000"/>
          <w:sz w:val="32"/>
          <w:szCs w:val="32"/>
        </w:rPr>
        <w:t>支出决算为84.55万元，完成预算100%。</w:t>
      </w:r>
    </w:p>
    <w:p w14:paraId="2CCD1E3C">
      <w:pPr>
        <w:spacing w:line="600" w:lineRule="exact"/>
        <w:ind w:firstLine="643" w:firstLineChars="200"/>
        <w:rPr>
          <w:rFonts w:eastAsia="仿宋"/>
          <w:b/>
          <w:bCs/>
          <w:sz w:val="32"/>
          <w:szCs w:val="32"/>
        </w:rPr>
      </w:pPr>
      <w:r>
        <w:rPr>
          <w:rStyle w:val="15"/>
          <w:rFonts w:eastAsia="仿宋"/>
          <w:bCs/>
          <w:sz w:val="32"/>
          <w:szCs w:val="32"/>
        </w:rPr>
        <w:t>6. 社会保障和就业（类）人力资源和社会保障管理事务（款）其他人力资源和社会保障管理事务支出（项）:</w:t>
      </w:r>
      <w:r>
        <w:rPr>
          <w:rStyle w:val="15"/>
          <w:rFonts w:eastAsia="仿宋"/>
          <w:b w:val="0"/>
          <w:bCs/>
          <w:sz w:val="32"/>
          <w:szCs w:val="32"/>
        </w:rPr>
        <w:t xml:space="preserve"> 支出决算为34.2万元，完成预算100%。</w:t>
      </w:r>
    </w:p>
    <w:p w14:paraId="41DD4849">
      <w:pPr>
        <w:spacing w:line="600" w:lineRule="exact"/>
        <w:ind w:firstLine="643" w:firstLineChars="200"/>
        <w:rPr>
          <w:rFonts w:eastAsia="仿宋"/>
          <w:b/>
          <w:bCs/>
          <w:sz w:val="32"/>
          <w:szCs w:val="32"/>
        </w:rPr>
      </w:pPr>
      <w:r>
        <w:rPr>
          <w:rStyle w:val="15"/>
          <w:rFonts w:eastAsia="仿宋"/>
          <w:bCs/>
          <w:sz w:val="32"/>
          <w:szCs w:val="32"/>
        </w:rPr>
        <w:t>7. 社会保障和就业（类）</w:t>
      </w:r>
      <w:r>
        <w:rPr>
          <w:rStyle w:val="15"/>
          <w:rFonts w:eastAsia="仿宋"/>
          <w:color w:val="000000"/>
          <w:sz w:val="32"/>
          <w:szCs w:val="32"/>
        </w:rPr>
        <w:t>行政事业单位养老支出</w:t>
      </w:r>
      <w:r>
        <w:rPr>
          <w:rStyle w:val="15"/>
          <w:rFonts w:eastAsia="仿宋"/>
          <w:bCs/>
          <w:sz w:val="32"/>
          <w:szCs w:val="32"/>
        </w:rPr>
        <w:t>（款）  行政单位离退休（项）:</w:t>
      </w:r>
      <w:r>
        <w:rPr>
          <w:rStyle w:val="15"/>
          <w:rFonts w:eastAsia="仿宋"/>
          <w:b w:val="0"/>
          <w:bCs/>
          <w:sz w:val="32"/>
          <w:szCs w:val="32"/>
        </w:rPr>
        <w:t xml:space="preserve"> 支出决算为334.43万元，完成预算100%。</w:t>
      </w:r>
    </w:p>
    <w:p w14:paraId="36379767">
      <w:pPr>
        <w:spacing w:line="600" w:lineRule="exact"/>
        <w:ind w:firstLine="643" w:firstLineChars="200"/>
        <w:rPr>
          <w:rStyle w:val="15"/>
          <w:rFonts w:eastAsia="仿宋"/>
          <w:b w:val="0"/>
          <w:bCs/>
          <w:sz w:val="32"/>
          <w:szCs w:val="32"/>
        </w:rPr>
      </w:pPr>
      <w:r>
        <w:rPr>
          <w:rStyle w:val="15"/>
          <w:rFonts w:eastAsia="仿宋"/>
          <w:bCs/>
          <w:sz w:val="32"/>
          <w:szCs w:val="32"/>
        </w:rPr>
        <w:t>8. 社会保障和就业（类）</w:t>
      </w:r>
      <w:r>
        <w:rPr>
          <w:rStyle w:val="15"/>
          <w:rFonts w:eastAsia="仿宋"/>
          <w:color w:val="000000"/>
          <w:sz w:val="32"/>
          <w:szCs w:val="32"/>
        </w:rPr>
        <w:t>行政事业单位养老支出</w:t>
      </w:r>
      <w:r>
        <w:rPr>
          <w:rStyle w:val="15"/>
          <w:rFonts w:eastAsia="仿宋"/>
          <w:bCs/>
          <w:sz w:val="32"/>
          <w:szCs w:val="32"/>
        </w:rPr>
        <w:t>（款）  事业单位离退休（项）:</w:t>
      </w:r>
      <w:r>
        <w:rPr>
          <w:rStyle w:val="15"/>
          <w:rFonts w:eastAsia="仿宋"/>
          <w:b w:val="0"/>
          <w:bCs/>
          <w:sz w:val="32"/>
          <w:szCs w:val="32"/>
        </w:rPr>
        <w:t xml:space="preserve"> 支出决算为3.9万元，完成预算100%。</w:t>
      </w:r>
    </w:p>
    <w:p w14:paraId="09B92B6A">
      <w:pPr>
        <w:pStyle w:val="2"/>
        <w:spacing w:before="93"/>
        <w:ind w:firstLine="643" w:firstLineChars="200"/>
        <w:rPr>
          <w:rStyle w:val="15"/>
          <w:rFonts w:ascii="Times New Roman" w:eastAsia="仿宋"/>
          <w:b w:val="0"/>
          <w:bCs/>
          <w:sz w:val="32"/>
          <w:szCs w:val="32"/>
        </w:rPr>
      </w:pPr>
      <w:r>
        <w:rPr>
          <w:rStyle w:val="15"/>
          <w:rFonts w:ascii="Times New Roman" w:eastAsia="仿宋"/>
          <w:bCs/>
          <w:sz w:val="32"/>
          <w:szCs w:val="32"/>
        </w:rPr>
        <w:t>9. 社会保障和就业（类）</w:t>
      </w:r>
      <w:r>
        <w:rPr>
          <w:rStyle w:val="15"/>
          <w:rFonts w:ascii="Times New Roman" w:eastAsia="仿宋"/>
          <w:color w:val="000000"/>
          <w:sz w:val="32"/>
          <w:szCs w:val="32"/>
        </w:rPr>
        <w:t>行政事业单位养老支出</w:t>
      </w:r>
      <w:r>
        <w:rPr>
          <w:rStyle w:val="15"/>
          <w:rFonts w:ascii="Times New Roman" w:eastAsia="仿宋"/>
          <w:bCs/>
          <w:sz w:val="32"/>
          <w:szCs w:val="32"/>
        </w:rPr>
        <w:t>（款）    机关事业单位基本养老保险缴费支出（项）:</w:t>
      </w:r>
      <w:r>
        <w:rPr>
          <w:rStyle w:val="15"/>
          <w:rFonts w:ascii="Times New Roman" w:eastAsia="仿宋"/>
          <w:b w:val="0"/>
          <w:bCs/>
          <w:sz w:val="32"/>
          <w:szCs w:val="32"/>
        </w:rPr>
        <w:t xml:space="preserve"> 支出决算为111.88万元，完成预算100%。</w:t>
      </w:r>
    </w:p>
    <w:p w14:paraId="1DC107A9">
      <w:pPr>
        <w:spacing w:line="600" w:lineRule="exact"/>
        <w:ind w:firstLine="643"/>
        <w:rPr>
          <w:rStyle w:val="15"/>
          <w:rFonts w:eastAsia="仿宋"/>
          <w:color w:val="000000"/>
          <w:sz w:val="32"/>
          <w:szCs w:val="32"/>
        </w:rPr>
      </w:pPr>
      <w:r>
        <w:rPr>
          <w:rStyle w:val="15"/>
          <w:rFonts w:eastAsia="仿宋"/>
          <w:bCs/>
          <w:sz w:val="32"/>
          <w:szCs w:val="32"/>
        </w:rPr>
        <w:t xml:space="preserve">10. </w:t>
      </w:r>
      <w:r>
        <w:rPr>
          <w:rStyle w:val="15"/>
          <w:rFonts w:eastAsia="仿宋"/>
          <w:color w:val="000000"/>
          <w:sz w:val="32"/>
          <w:szCs w:val="32"/>
        </w:rPr>
        <w:t>社会保障和就业（类）抚恤（款）死亡抚恤（项）：</w:t>
      </w:r>
    </w:p>
    <w:p w14:paraId="4706F9A2">
      <w:pPr>
        <w:spacing w:line="600" w:lineRule="exact"/>
        <w:rPr>
          <w:rStyle w:val="15"/>
          <w:rFonts w:eastAsia="仿宋"/>
          <w:b w:val="0"/>
          <w:bCs/>
          <w:color w:val="000000"/>
          <w:sz w:val="32"/>
          <w:szCs w:val="32"/>
        </w:rPr>
      </w:pPr>
      <w:r>
        <w:rPr>
          <w:rStyle w:val="15"/>
          <w:rFonts w:eastAsia="仿宋"/>
          <w:b w:val="0"/>
          <w:bCs/>
          <w:color w:val="000000"/>
          <w:sz w:val="32"/>
          <w:szCs w:val="32"/>
        </w:rPr>
        <w:t>支出决算为21.83万元，完成预算100%。</w:t>
      </w:r>
    </w:p>
    <w:p w14:paraId="4A1D4589">
      <w:pPr>
        <w:pStyle w:val="2"/>
        <w:spacing w:before="93"/>
        <w:ind w:firstLine="643" w:firstLineChars="200"/>
        <w:rPr>
          <w:rFonts w:ascii="Times New Roman" w:eastAsia="仿宋"/>
          <w:sz w:val="32"/>
          <w:szCs w:val="32"/>
        </w:rPr>
      </w:pPr>
      <w:r>
        <w:rPr>
          <w:rStyle w:val="15"/>
          <w:rFonts w:ascii="Times New Roman" w:eastAsia="仿宋"/>
          <w:bCs/>
          <w:sz w:val="32"/>
          <w:szCs w:val="32"/>
        </w:rPr>
        <w:t>11.</w:t>
      </w:r>
      <w:r>
        <w:rPr>
          <w:rStyle w:val="15"/>
          <w:rFonts w:ascii="Times New Roman" w:eastAsia="仿宋"/>
          <w:color w:val="000000"/>
          <w:sz w:val="32"/>
          <w:szCs w:val="32"/>
        </w:rPr>
        <w:t xml:space="preserve"> 资源勘探工业信息等支出（类）制造业（款）其他制造业支出（项）：</w:t>
      </w:r>
      <w:r>
        <w:rPr>
          <w:rStyle w:val="15"/>
          <w:rFonts w:ascii="Times New Roman" w:eastAsia="仿宋"/>
          <w:b w:val="0"/>
          <w:bCs/>
          <w:color w:val="000000"/>
          <w:sz w:val="32"/>
          <w:szCs w:val="32"/>
        </w:rPr>
        <w:t>支出决算为37万元，完成预算100%。</w:t>
      </w:r>
    </w:p>
    <w:p w14:paraId="1656F344">
      <w:pPr>
        <w:spacing w:line="600" w:lineRule="exact"/>
        <w:ind w:firstLine="643" w:firstLineChars="200"/>
        <w:rPr>
          <w:rFonts w:eastAsia="仿宋"/>
          <w:sz w:val="32"/>
          <w:szCs w:val="32"/>
        </w:rPr>
      </w:pPr>
      <w:r>
        <w:rPr>
          <w:rFonts w:eastAsia="仿宋"/>
          <w:b/>
          <w:sz w:val="32"/>
          <w:szCs w:val="32"/>
        </w:rPr>
        <w:t xml:space="preserve">12. </w:t>
      </w:r>
      <w:r>
        <w:rPr>
          <w:rStyle w:val="15"/>
          <w:rFonts w:eastAsia="仿宋"/>
          <w:bCs/>
          <w:sz w:val="32"/>
          <w:szCs w:val="32"/>
        </w:rPr>
        <w:t xml:space="preserve">资源勘探工业信息等支出（类）工业和信息产业监管（款）无线电及信息通信监管（项）: </w:t>
      </w:r>
      <w:r>
        <w:rPr>
          <w:rStyle w:val="15"/>
          <w:rFonts w:eastAsia="仿宋"/>
          <w:b w:val="0"/>
          <w:bCs/>
          <w:sz w:val="32"/>
          <w:szCs w:val="32"/>
        </w:rPr>
        <w:t>支出决算为16.01万元，完成预算100%。</w:t>
      </w:r>
    </w:p>
    <w:p w14:paraId="1C328353">
      <w:pPr>
        <w:spacing w:line="600" w:lineRule="exact"/>
        <w:ind w:firstLine="643" w:firstLineChars="200"/>
        <w:rPr>
          <w:rStyle w:val="15"/>
          <w:rFonts w:eastAsia="仿宋"/>
          <w:b w:val="0"/>
          <w:bCs/>
          <w:sz w:val="32"/>
          <w:szCs w:val="32"/>
        </w:rPr>
      </w:pPr>
      <w:r>
        <w:rPr>
          <w:rStyle w:val="15"/>
          <w:rFonts w:eastAsia="仿宋"/>
          <w:bCs/>
          <w:sz w:val="32"/>
          <w:szCs w:val="32"/>
        </w:rPr>
        <w:t xml:space="preserve">13. 资源勘探工业信息等支出（类）工业和信息产业监管（款）事业运行（项）: </w:t>
      </w:r>
      <w:r>
        <w:rPr>
          <w:rStyle w:val="15"/>
          <w:rFonts w:eastAsia="仿宋"/>
          <w:b w:val="0"/>
          <w:bCs/>
          <w:sz w:val="32"/>
          <w:szCs w:val="32"/>
        </w:rPr>
        <w:t>支出决算为119.59万元，完成预算100%。</w:t>
      </w:r>
    </w:p>
    <w:p w14:paraId="0B097F35">
      <w:pPr>
        <w:pStyle w:val="2"/>
        <w:spacing w:before="93"/>
        <w:ind w:firstLine="630" w:firstLineChars="196"/>
        <w:rPr>
          <w:rStyle w:val="15"/>
          <w:rFonts w:ascii="Times New Roman" w:eastAsia="仿宋"/>
          <w:b w:val="0"/>
          <w:bCs/>
          <w:color w:val="000000"/>
          <w:sz w:val="32"/>
          <w:szCs w:val="32"/>
        </w:rPr>
      </w:pPr>
      <w:r>
        <w:rPr>
          <w:rStyle w:val="15"/>
          <w:rFonts w:ascii="Times New Roman" w:eastAsia="仿宋"/>
          <w:bCs/>
          <w:sz w:val="32"/>
          <w:szCs w:val="32"/>
        </w:rPr>
        <w:t xml:space="preserve">14. </w:t>
      </w:r>
      <w:r>
        <w:rPr>
          <w:rStyle w:val="15"/>
          <w:rFonts w:ascii="Times New Roman" w:eastAsia="仿宋"/>
          <w:color w:val="000000"/>
          <w:sz w:val="32"/>
          <w:szCs w:val="32"/>
        </w:rPr>
        <w:t>资源勘探工业信息等支出（类）工业和信息产业监管（款）其他工业和信息产业监管支出（项）：</w:t>
      </w:r>
      <w:r>
        <w:rPr>
          <w:rStyle w:val="15"/>
          <w:rFonts w:ascii="Times New Roman" w:eastAsia="仿宋"/>
          <w:b w:val="0"/>
          <w:bCs/>
          <w:color w:val="000000"/>
          <w:sz w:val="32"/>
          <w:szCs w:val="32"/>
        </w:rPr>
        <w:t>支出决算为10万元，完成预算100%。</w:t>
      </w:r>
    </w:p>
    <w:p w14:paraId="0EA1E044">
      <w:pPr>
        <w:pStyle w:val="2"/>
        <w:spacing w:before="93"/>
        <w:ind w:firstLine="630" w:firstLineChars="196"/>
        <w:rPr>
          <w:rFonts w:ascii="Times New Roman"/>
          <w:b/>
        </w:rPr>
      </w:pPr>
      <w:r>
        <w:rPr>
          <w:rStyle w:val="15"/>
          <w:rFonts w:ascii="Times New Roman" w:eastAsia="仿宋"/>
          <w:color w:val="000000"/>
          <w:sz w:val="32"/>
          <w:szCs w:val="32"/>
        </w:rPr>
        <w:t>15. 住房保障支出（类）住房改革支出（款）住房公积金（项）：</w:t>
      </w:r>
      <w:r>
        <w:rPr>
          <w:rStyle w:val="15"/>
          <w:rFonts w:ascii="Times New Roman" w:eastAsia="仿宋"/>
          <w:b w:val="0"/>
          <w:bCs/>
          <w:color w:val="000000"/>
          <w:sz w:val="32"/>
          <w:szCs w:val="32"/>
        </w:rPr>
        <w:t>支出决算为118.83万元，完成预算100%。</w:t>
      </w:r>
    </w:p>
    <w:p w14:paraId="078FBA15">
      <w:pPr>
        <w:tabs>
          <w:tab w:val="right" w:pos="8306"/>
        </w:tabs>
        <w:spacing w:line="600" w:lineRule="exact"/>
        <w:ind w:firstLine="640"/>
        <w:outlineLvl w:val="1"/>
        <w:rPr>
          <w:rStyle w:val="26"/>
          <w:rFonts w:ascii="Times New Roman" w:hAnsi="Times New Roman" w:cs="Times New Roman"/>
        </w:rPr>
      </w:pPr>
      <w:bookmarkStart w:id="44" w:name="_Toc15396608"/>
      <w:bookmarkStart w:id="45" w:name="_Toc15377214"/>
      <w:r>
        <w:rPr>
          <w:rFonts w:eastAsia="黑体"/>
          <w:sz w:val="32"/>
          <w:szCs w:val="32"/>
        </w:rPr>
        <w:t>六</w:t>
      </w:r>
      <w:r>
        <w:rPr>
          <w:rFonts w:eastAsia="黑体"/>
          <w:b/>
          <w:sz w:val="32"/>
          <w:szCs w:val="32"/>
        </w:rPr>
        <w:t>、一</w:t>
      </w:r>
      <w:r>
        <w:rPr>
          <w:rStyle w:val="26"/>
          <w:rFonts w:ascii="Times New Roman" w:hAnsi="Times New Roman" w:eastAsia="黑体" w:cs="Times New Roman"/>
          <w:b w:val="0"/>
        </w:rPr>
        <w:t>般公共预算财政拨款基本支出决算情况说明</w:t>
      </w:r>
      <w:bookmarkEnd w:id="44"/>
      <w:bookmarkEnd w:id="45"/>
      <w:r>
        <w:rPr>
          <w:rStyle w:val="26"/>
          <w:rFonts w:ascii="Times New Roman" w:hAnsi="Times New Roman" w:eastAsia="黑体" w:cs="Times New Roman"/>
          <w:b w:val="0"/>
        </w:rPr>
        <w:tab/>
      </w:r>
    </w:p>
    <w:p w14:paraId="76377A3D">
      <w:pPr>
        <w:spacing w:line="600" w:lineRule="exact"/>
        <w:ind w:firstLine="645"/>
        <w:rPr>
          <w:rFonts w:eastAsia="仿宋"/>
          <w:sz w:val="32"/>
          <w:szCs w:val="32"/>
        </w:rPr>
      </w:pPr>
      <w:r>
        <w:rPr>
          <w:rFonts w:eastAsia="仿宋"/>
          <w:sz w:val="32"/>
          <w:szCs w:val="32"/>
        </w:rPr>
        <w:t>2021年一般公共预算财政拨款基本支出2095.89万元，其中：</w:t>
      </w:r>
    </w:p>
    <w:p w14:paraId="4920DD66">
      <w:pPr>
        <w:spacing w:line="600" w:lineRule="exact"/>
        <w:ind w:firstLine="645"/>
        <w:rPr>
          <w:rFonts w:eastAsia="仿宋"/>
          <w:sz w:val="32"/>
          <w:szCs w:val="32"/>
        </w:rPr>
      </w:pPr>
      <w:r>
        <w:rPr>
          <w:rFonts w:eastAsia="仿宋"/>
          <w:sz w:val="32"/>
          <w:szCs w:val="32"/>
        </w:rPr>
        <w:t>人员经费1962.05万元，主要包括：基本工资、津贴补贴、奖金、绩效工资、机关事业单位基本养老保险缴费、职工基本医疗保险缴费、公务员医疗补助缴费、其他社会保障缴费、其他工资福利支出、离休费、抚恤金、生活补助、医疗费补助、奖励金、住房公积金、其他对个人和家庭的补助支出等。</w:t>
      </w:r>
    </w:p>
    <w:p w14:paraId="49993F61">
      <w:pPr>
        <w:spacing w:line="600" w:lineRule="exact"/>
        <w:ind w:firstLine="640" w:firstLineChars="200"/>
        <w:rPr>
          <w:rFonts w:eastAsia="仿宋"/>
          <w:sz w:val="32"/>
          <w:szCs w:val="32"/>
        </w:rPr>
      </w:pPr>
      <w:r>
        <w:rPr>
          <w:rFonts w:eastAsia="仿宋"/>
          <w:sz w:val="32"/>
          <w:szCs w:val="32"/>
        </w:rPr>
        <w:t>公用经费133.84万元，主要包括：办公费、印刷费、咨询费、手续费、水费、电费、邮电费、物业管理费、差旅费、维修（护）费、租赁费、会议费、培训费、公务接待费、劳务费、工会经费、福利费、公务用车运行维护费、其他交通费、其他商品和服务支出。</w:t>
      </w:r>
    </w:p>
    <w:p w14:paraId="7B857A5B">
      <w:pPr>
        <w:spacing w:line="600" w:lineRule="exact"/>
        <w:ind w:firstLine="640"/>
        <w:outlineLvl w:val="1"/>
        <w:rPr>
          <w:rStyle w:val="26"/>
          <w:rFonts w:ascii="Times New Roman" w:hAnsi="Times New Roman" w:eastAsia="黑体" w:cs="Times New Roman"/>
          <w:b w:val="0"/>
        </w:rPr>
      </w:pPr>
      <w:bookmarkStart w:id="46" w:name="_Toc15396609"/>
      <w:bookmarkStart w:id="47" w:name="_Toc15377215"/>
      <w:r>
        <w:rPr>
          <w:rFonts w:eastAsia="黑体"/>
          <w:sz w:val="32"/>
          <w:szCs w:val="32"/>
        </w:rPr>
        <w:t>七、</w:t>
      </w:r>
      <w:r>
        <w:rPr>
          <w:rStyle w:val="26"/>
          <w:rFonts w:ascii="Times New Roman" w:hAnsi="Times New Roman" w:eastAsia="黑体" w:cs="Times New Roman"/>
        </w:rPr>
        <w:t>“</w:t>
      </w:r>
      <w:r>
        <w:rPr>
          <w:rStyle w:val="26"/>
          <w:rFonts w:ascii="Times New Roman" w:hAnsi="Times New Roman" w:eastAsia="黑体" w:cs="Times New Roman"/>
          <w:b w:val="0"/>
        </w:rPr>
        <w:t>三公”经费财政拨款支出决算情况说明</w:t>
      </w:r>
      <w:bookmarkEnd w:id="46"/>
      <w:bookmarkEnd w:id="47"/>
    </w:p>
    <w:p w14:paraId="43648968">
      <w:pPr>
        <w:spacing w:line="600" w:lineRule="exact"/>
        <w:ind w:firstLine="640"/>
        <w:outlineLvl w:val="2"/>
        <w:rPr>
          <w:rFonts w:eastAsia="仿宋"/>
          <w:b/>
          <w:sz w:val="32"/>
          <w:szCs w:val="32"/>
        </w:rPr>
      </w:pPr>
      <w:bookmarkStart w:id="48" w:name="_Toc15377216"/>
      <w:r>
        <w:rPr>
          <w:rFonts w:eastAsia="仿宋"/>
          <w:b/>
          <w:sz w:val="32"/>
          <w:szCs w:val="32"/>
        </w:rPr>
        <w:t>（一）“三公”经费财政拨款支出决算总体情况说明</w:t>
      </w:r>
      <w:bookmarkEnd w:id="48"/>
    </w:p>
    <w:p w14:paraId="068B30BC">
      <w:pPr>
        <w:spacing w:line="600" w:lineRule="exact"/>
        <w:ind w:firstLine="640"/>
        <w:rPr>
          <w:rFonts w:eastAsia="仿宋"/>
          <w:sz w:val="32"/>
          <w:szCs w:val="32"/>
        </w:rPr>
      </w:pPr>
      <w:r>
        <w:rPr>
          <w:rFonts w:eastAsia="仿宋"/>
          <w:sz w:val="32"/>
          <w:szCs w:val="32"/>
        </w:rPr>
        <w:t>2021年“三公”经费财政拨款支出决算为8.35万元，完成预算100%。</w:t>
      </w:r>
    </w:p>
    <w:p w14:paraId="2CB8FE67">
      <w:pPr>
        <w:spacing w:line="600" w:lineRule="exact"/>
        <w:ind w:firstLine="640"/>
        <w:outlineLvl w:val="2"/>
        <w:rPr>
          <w:rFonts w:eastAsia="仿宋"/>
          <w:b/>
          <w:sz w:val="32"/>
          <w:szCs w:val="32"/>
        </w:rPr>
      </w:pPr>
      <w:bookmarkStart w:id="49" w:name="_Toc15377217"/>
      <w:r>
        <w:rPr>
          <w:rFonts w:eastAsia="仿宋"/>
          <w:b/>
          <w:sz w:val="32"/>
          <w:szCs w:val="32"/>
        </w:rPr>
        <w:t>（二）“三公”经费财政拨款支出决算具体情况说明</w:t>
      </w:r>
      <w:bookmarkEnd w:id="49"/>
    </w:p>
    <w:p w14:paraId="4103234A">
      <w:pPr>
        <w:spacing w:line="600" w:lineRule="exact"/>
        <w:ind w:firstLine="640"/>
        <w:rPr>
          <w:rFonts w:eastAsia="仿宋"/>
          <w:sz w:val="32"/>
          <w:szCs w:val="32"/>
        </w:rPr>
      </w:pPr>
      <w:r>
        <w:rPr>
          <w:rFonts w:eastAsia="仿宋"/>
          <w:sz w:val="32"/>
          <w:szCs w:val="32"/>
        </w:rPr>
        <w:t>2021年“三公”经费财政拨款支出决算中，因公出国（境）费支出决算0万元，占0%；公务用车购置及运行维护费支出决算7.12万元，占85.17%；公务接待费支出决算1.24万元，占14.83%。具体情况如下：</w:t>
      </w:r>
    </w:p>
    <w:p w14:paraId="0226F785">
      <w:pPr>
        <w:spacing w:line="600" w:lineRule="exact"/>
        <w:ind w:firstLine="640"/>
        <w:rPr>
          <w:rFonts w:eastAsia="仿宋"/>
          <w:sz w:val="32"/>
          <w:szCs w:val="32"/>
        </w:rPr>
      </w:pPr>
    </w:p>
    <w:p w14:paraId="03D8AF25">
      <w:pPr>
        <w:spacing w:line="600" w:lineRule="exact"/>
        <w:ind w:firstLine="640"/>
        <w:rPr>
          <w:rFonts w:eastAsia="仿宋"/>
          <w:sz w:val="32"/>
          <w:szCs w:val="32"/>
        </w:rPr>
      </w:pPr>
    </w:p>
    <w:p w14:paraId="17E47D7B">
      <w:pPr>
        <w:spacing w:line="600" w:lineRule="exact"/>
        <w:ind w:firstLine="640"/>
        <w:rPr>
          <w:rFonts w:eastAsia="仿宋"/>
          <w:sz w:val="32"/>
          <w:szCs w:val="32"/>
        </w:rPr>
      </w:pPr>
    </w:p>
    <w:p w14:paraId="416E6980">
      <w:pPr>
        <w:spacing w:line="600" w:lineRule="exact"/>
        <w:ind w:firstLine="640"/>
        <w:rPr>
          <w:rFonts w:eastAsia="仿宋"/>
          <w:sz w:val="32"/>
          <w:szCs w:val="32"/>
        </w:rPr>
      </w:pPr>
    </w:p>
    <w:p w14:paraId="616A92F0">
      <w:pPr>
        <w:spacing w:line="600" w:lineRule="exact"/>
        <w:ind w:firstLine="640"/>
        <w:rPr>
          <w:rFonts w:eastAsia="仿宋"/>
          <w:sz w:val="32"/>
          <w:szCs w:val="32"/>
        </w:rPr>
      </w:pPr>
    </w:p>
    <w:p w14:paraId="1618EFE4">
      <w:pPr>
        <w:spacing w:line="600" w:lineRule="exact"/>
        <w:ind w:firstLine="640"/>
        <w:rPr>
          <w:rFonts w:eastAsia="仿宋"/>
          <w:sz w:val="32"/>
          <w:szCs w:val="32"/>
        </w:rPr>
      </w:pPr>
    </w:p>
    <w:p w14:paraId="6E365FC1">
      <w:pPr>
        <w:spacing w:line="600" w:lineRule="exact"/>
        <w:ind w:firstLine="640"/>
        <w:rPr>
          <w:rFonts w:eastAsia="仿宋"/>
          <w:sz w:val="32"/>
          <w:szCs w:val="32"/>
        </w:rPr>
      </w:pPr>
      <w:r>
        <w:rPr>
          <w:rFonts w:eastAsia="仿宋"/>
          <w:sz w:val="32"/>
          <w:szCs w:val="32"/>
        </w:rPr>
        <w:t>图7：“三公”经费财政拨款支出结构</w:t>
      </w:r>
    </w:p>
    <w:p w14:paraId="3F8054A2">
      <w:pPr>
        <w:pStyle w:val="2"/>
        <w:spacing w:before="93"/>
        <w:rPr>
          <w:rFonts w:ascii="Times New Roman"/>
        </w:rPr>
      </w:pPr>
      <w:r>
        <w:rPr>
          <w:rFonts w:ascii="Times New Roman"/>
        </w:rPr>
        <w:drawing>
          <wp:inline distT="0" distB="0" distL="0" distR="0">
            <wp:extent cx="4556760" cy="2606040"/>
            <wp:effectExtent l="19050" t="0" r="15240" b="381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2E977F">
      <w:pPr>
        <w:spacing w:line="600" w:lineRule="exact"/>
        <w:ind w:firstLine="640"/>
        <w:rPr>
          <w:rFonts w:eastAsia="仿宋_GB2312"/>
          <w:b/>
          <w:sz w:val="32"/>
          <w:szCs w:val="32"/>
        </w:rPr>
      </w:pPr>
      <w:r>
        <w:rPr>
          <w:rFonts w:eastAsia="仿宋_GB2312"/>
          <w:b/>
          <w:sz w:val="32"/>
          <w:szCs w:val="32"/>
        </w:rPr>
        <w:t>1.因公出国（境）经费支出</w:t>
      </w:r>
      <w:r>
        <w:rPr>
          <w:rFonts w:eastAsia="仿宋_GB2312"/>
          <w:sz w:val="32"/>
          <w:szCs w:val="32"/>
        </w:rPr>
        <w:t>0万元，</w:t>
      </w:r>
      <w:r>
        <w:rPr>
          <w:rStyle w:val="15"/>
          <w:rFonts w:eastAsia="仿宋"/>
          <w:b w:val="0"/>
          <w:bCs/>
          <w:sz w:val="32"/>
          <w:szCs w:val="32"/>
        </w:rPr>
        <w:t>完成预算0%。</w:t>
      </w:r>
      <w:r>
        <w:rPr>
          <w:rFonts w:eastAsia="仿宋_GB2312"/>
          <w:sz w:val="32"/>
          <w:szCs w:val="32"/>
        </w:rPr>
        <w:t>全年安排因公出国（境）团组0次，出国（境）0人。因公出国（境）支出决算比2020年持平。</w:t>
      </w:r>
    </w:p>
    <w:p w14:paraId="7AE5B6DC">
      <w:pPr>
        <w:spacing w:line="600" w:lineRule="exact"/>
        <w:ind w:firstLine="640"/>
        <w:rPr>
          <w:rFonts w:eastAsia="仿宋_GB2312"/>
          <w:b/>
          <w:sz w:val="32"/>
          <w:szCs w:val="32"/>
        </w:rPr>
      </w:pPr>
      <w:r>
        <w:rPr>
          <w:rFonts w:eastAsia="仿宋_GB2312"/>
          <w:b/>
          <w:sz w:val="32"/>
          <w:szCs w:val="32"/>
        </w:rPr>
        <w:t>2.公务用车购置及运行维护费支出</w:t>
      </w:r>
      <w:r>
        <w:rPr>
          <w:rFonts w:eastAsia="仿宋"/>
          <w:sz w:val="32"/>
          <w:szCs w:val="32"/>
        </w:rPr>
        <w:t>7.12</w:t>
      </w:r>
      <w:r>
        <w:rPr>
          <w:rFonts w:eastAsia="仿宋_GB2312"/>
          <w:sz w:val="32"/>
          <w:szCs w:val="32"/>
        </w:rPr>
        <w:t>万元,</w:t>
      </w:r>
      <w:r>
        <w:rPr>
          <w:rStyle w:val="15"/>
          <w:rFonts w:eastAsia="仿宋"/>
          <w:b w:val="0"/>
          <w:bCs/>
          <w:sz w:val="32"/>
          <w:szCs w:val="32"/>
        </w:rPr>
        <w:t>完成预算100%以上。</w:t>
      </w:r>
      <w:r>
        <w:rPr>
          <w:rFonts w:eastAsia="仿宋_GB2312"/>
          <w:sz w:val="32"/>
          <w:szCs w:val="32"/>
        </w:rPr>
        <w:t>公务用车购置及运行维护费支出决算比2020年增加0.35万元，增长5.17%。主要</w:t>
      </w:r>
      <w:r>
        <w:rPr>
          <w:rFonts w:eastAsia="仿宋_GB2312"/>
          <w:color w:val="000000"/>
          <w:sz w:val="32"/>
          <w:szCs w:val="32"/>
        </w:rPr>
        <w:t>因</w:t>
      </w:r>
      <w:r>
        <w:rPr>
          <w:rFonts w:eastAsia="仿宋_GB2312"/>
          <w:sz w:val="32"/>
          <w:szCs w:val="32"/>
        </w:rPr>
        <w:t>我局公务用车于2011年购入，车龄时间长，维修维护成本增加，2021年多次出现严重故障，并多次送厂维修，实际产生较多维修费用，最终导致公务用车运行维护费大于年初预算数</w:t>
      </w:r>
      <w:r>
        <w:rPr>
          <w:rFonts w:eastAsia="仿宋_GB2312"/>
          <w:color w:val="000000"/>
          <w:sz w:val="32"/>
          <w:szCs w:val="32"/>
        </w:rPr>
        <w:t>。</w:t>
      </w:r>
    </w:p>
    <w:p w14:paraId="062C3185">
      <w:pPr>
        <w:spacing w:line="600" w:lineRule="exact"/>
        <w:ind w:firstLine="640"/>
        <w:rPr>
          <w:rFonts w:eastAsia="仿宋_GB2312"/>
          <w:b/>
          <w:sz w:val="32"/>
          <w:szCs w:val="32"/>
        </w:rPr>
      </w:pPr>
      <w:r>
        <w:rPr>
          <w:rFonts w:eastAsia="仿宋_GB2312"/>
          <w:sz w:val="32"/>
          <w:szCs w:val="32"/>
        </w:rPr>
        <w:t>其中：</w:t>
      </w:r>
      <w:r>
        <w:rPr>
          <w:rFonts w:eastAsia="仿宋_GB2312"/>
          <w:b/>
          <w:sz w:val="32"/>
          <w:szCs w:val="32"/>
        </w:rPr>
        <w:t>公务用车购置支出</w:t>
      </w:r>
      <w:r>
        <w:rPr>
          <w:rFonts w:eastAsia="仿宋_GB2312"/>
          <w:sz w:val="32"/>
          <w:szCs w:val="32"/>
        </w:rPr>
        <w:t>0万元。全年按规定更新购置公务用车0辆，其中：轿车0辆、金额0万元，越野车0辆、金额0万元，载客汽车0辆、金额0万元0。截至2021年12月底，单位共有公务用车4辆，其中：轿车1辆、越野车0辆、载客汽车3辆。</w:t>
      </w:r>
    </w:p>
    <w:p w14:paraId="54CB2E50">
      <w:pPr>
        <w:spacing w:line="600" w:lineRule="exact"/>
        <w:ind w:firstLine="640"/>
        <w:rPr>
          <w:rFonts w:eastAsia="仿宋_GB2312"/>
          <w:sz w:val="32"/>
          <w:szCs w:val="32"/>
        </w:rPr>
      </w:pPr>
      <w:r>
        <w:rPr>
          <w:rFonts w:eastAsia="仿宋_GB2312"/>
          <w:b/>
          <w:sz w:val="32"/>
          <w:szCs w:val="32"/>
        </w:rPr>
        <w:t>公务用车运行维护费支出</w:t>
      </w:r>
      <w:r>
        <w:rPr>
          <w:rFonts w:eastAsia="仿宋_GB2312"/>
          <w:sz w:val="32"/>
          <w:szCs w:val="32"/>
        </w:rPr>
        <w:t>7.12万元。主要用于保障我局日常开展经济运行综合协调工作，开展工业经济、民营经济及信息产业相关活动</w:t>
      </w:r>
      <w:bookmarkStart w:id="77" w:name="_GoBack"/>
      <w:bookmarkEnd w:id="77"/>
      <w:r>
        <w:rPr>
          <w:rFonts w:eastAsia="仿宋_GB2312"/>
          <w:sz w:val="32"/>
          <w:szCs w:val="32"/>
        </w:rPr>
        <w:t>以及对各通信基站、超短波台站等在用无线电台进行抽检检测所需的公务用车燃料费、维修费、过路过桥费、保险费等支出。</w:t>
      </w:r>
    </w:p>
    <w:p w14:paraId="73FBC59E">
      <w:pPr>
        <w:spacing w:line="600" w:lineRule="exact"/>
        <w:ind w:firstLine="640"/>
        <w:rPr>
          <w:rFonts w:eastAsia="仿宋_GB2312"/>
          <w:sz w:val="32"/>
          <w:szCs w:val="32"/>
        </w:rPr>
      </w:pPr>
      <w:r>
        <w:rPr>
          <w:rFonts w:eastAsia="仿宋_GB2312"/>
          <w:b/>
          <w:sz w:val="32"/>
          <w:szCs w:val="32"/>
        </w:rPr>
        <w:t>3.公务接待费支出</w:t>
      </w:r>
      <w:r>
        <w:rPr>
          <w:rFonts w:eastAsia="仿宋_GB2312"/>
          <w:sz w:val="32"/>
          <w:szCs w:val="32"/>
        </w:rPr>
        <w:t>1.24万元，</w:t>
      </w:r>
      <w:r>
        <w:rPr>
          <w:rStyle w:val="15"/>
          <w:rFonts w:eastAsia="仿宋"/>
          <w:b w:val="0"/>
          <w:bCs/>
          <w:sz w:val="32"/>
          <w:szCs w:val="32"/>
        </w:rPr>
        <w:t>完成预算</w:t>
      </w:r>
      <w:r>
        <w:rPr>
          <w:rStyle w:val="15"/>
          <w:rFonts w:hint="eastAsia" w:eastAsia="仿宋"/>
          <w:b w:val="0"/>
          <w:bCs/>
          <w:sz w:val="32"/>
          <w:szCs w:val="32"/>
        </w:rPr>
        <w:t>33.16</w:t>
      </w:r>
      <w:r>
        <w:rPr>
          <w:rStyle w:val="15"/>
          <w:rFonts w:eastAsia="仿宋"/>
          <w:b w:val="0"/>
          <w:bCs/>
          <w:sz w:val="32"/>
          <w:szCs w:val="32"/>
        </w:rPr>
        <w:t>%。</w:t>
      </w:r>
      <w:r>
        <w:rPr>
          <w:rFonts w:eastAsia="仿宋_GB2312"/>
          <w:sz w:val="32"/>
          <w:szCs w:val="32"/>
        </w:rPr>
        <w:t>公务接待费支出决算比2020年减少0.05万元，下降3.88%。主要原因是进一步压减三公经费开支其中：</w:t>
      </w:r>
    </w:p>
    <w:p w14:paraId="3B6F8149">
      <w:pPr>
        <w:spacing w:line="600" w:lineRule="exact"/>
        <w:ind w:firstLine="640"/>
        <w:rPr>
          <w:rFonts w:eastAsia="仿宋_GB2312"/>
          <w:sz w:val="32"/>
          <w:szCs w:val="32"/>
        </w:rPr>
      </w:pPr>
      <w:r>
        <w:rPr>
          <w:rFonts w:eastAsia="仿宋"/>
          <w:b/>
          <w:sz w:val="32"/>
          <w:szCs w:val="32"/>
        </w:rPr>
        <w:t>国内公务接待支出</w:t>
      </w:r>
      <w:r>
        <w:rPr>
          <w:rFonts w:eastAsia="仿宋"/>
          <w:sz w:val="32"/>
          <w:szCs w:val="32"/>
        </w:rPr>
        <w:t>1.24</w:t>
      </w:r>
      <w:r>
        <w:rPr>
          <w:rFonts w:eastAsia="仿宋_GB2312"/>
          <w:sz w:val="32"/>
          <w:szCs w:val="32"/>
        </w:rPr>
        <w:t>万元，</w:t>
      </w:r>
      <w:r>
        <w:rPr>
          <w:rFonts w:eastAsia="仿宋"/>
          <w:color w:val="000000"/>
          <w:sz w:val="32"/>
          <w:szCs w:val="32"/>
        </w:rPr>
        <w:t>主要用于我局执行公务、开展业务活动开支的交通费、住宿费、用餐费等</w:t>
      </w:r>
      <w:r>
        <w:rPr>
          <w:rFonts w:eastAsia="仿宋_GB2312"/>
          <w:color w:val="000000"/>
          <w:sz w:val="32"/>
          <w:szCs w:val="32"/>
        </w:rPr>
        <w:t>。国内公务接待12批次，101人次（不包括陪同人员），共计支出1.24万元，具体内容包括：</w:t>
      </w:r>
      <w:r>
        <w:rPr>
          <w:rFonts w:hint="eastAsia" w:ascii="仿宋_GB2312" w:eastAsia="仿宋_GB2312"/>
          <w:sz w:val="32"/>
          <w:szCs w:val="32"/>
        </w:rPr>
        <w:t>对接其他地市（州）相关部门公务接待费0.74万元，对接省级相关部门公务接待费0.5万元</w:t>
      </w:r>
      <w:r>
        <w:rPr>
          <w:rFonts w:eastAsia="仿宋_GB2312"/>
          <w:sz w:val="32"/>
          <w:szCs w:val="32"/>
        </w:rPr>
        <w:t>。</w:t>
      </w:r>
    </w:p>
    <w:p w14:paraId="0F675815">
      <w:pPr>
        <w:spacing w:line="600" w:lineRule="exact"/>
        <w:ind w:firstLine="640"/>
        <w:rPr>
          <w:rFonts w:eastAsia="仿宋_GB2312"/>
          <w:sz w:val="32"/>
          <w:szCs w:val="32"/>
        </w:rPr>
      </w:pPr>
      <w:r>
        <w:rPr>
          <w:rFonts w:eastAsia="仿宋"/>
          <w:b/>
          <w:sz w:val="32"/>
          <w:szCs w:val="32"/>
        </w:rPr>
        <w:t>外事接待支出</w:t>
      </w:r>
      <w:r>
        <w:rPr>
          <w:rFonts w:eastAsia="仿宋"/>
          <w:sz w:val="32"/>
          <w:szCs w:val="32"/>
        </w:rPr>
        <w:t>0</w:t>
      </w:r>
      <w:r>
        <w:rPr>
          <w:rFonts w:eastAsia="仿宋_GB2312"/>
          <w:sz w:val="32"/>
          <w:szCs w:val="32"/>
        </w:rPr>
        <w:t>万元，外事接待0批次，0人，共计支出0万元。</w:t>
      </w:r>
    </w:p>
    <w:p w14:paraId="1675DADD">
      <w:pPr>
        <w:spacing w:line="600" w:lineRule="exact"/>
        <w:ind w:firstLine="640"/>
        <w:outlineLvl w:val="1"/>
        <w:rPr>
          <w:rStyle w:val="26"/>
          <w:rFonts w:ascii="Times New Roman" w:hAnsi="Times New Roman" w:eastAsia="黑体" w:cs="Times New Roman"/>
        </w:rPr>
      </w:pPr>
      <w:bookmarkStart w:id="50" w:name="_Toc15377218"/>
      <w:bookmarkStart w:id="51" w:name="_Toc15396610"/>
      <w:r>
        <w:rPr>
          <w:rFonts w:eastAsia="黑体"/>
          <w:sz w:val="32"/>
          <w:szCs w:val="32"/>
        </w:rPr>
        <w:t>八、</w:t>
      </w:r>
      <w:r>
        <w:rPr>
          <w:rStyle w:val="26"/>
          <w:rFonts w:ascii="Times New Roman" w:hAnsi="Times New Roman" w:eastAsia="黑体" w:cs="Times New Roman"/>
          <w:b w:val="0"/>
        </w:rPr>
        <w:t>政府性基金预算支出决算情况说明</w:t>
      </w:r>
      <w:bookmarkEnd w:id="50"/>
      <w:bookmarkEnd w:id="51"/>
    </w:p>
    <w:p w14:paraId="29521C1C">
      <w:pPr>
        <w:spacing w:line="600" w:lineRule="exact"/>
        <w:ind w:firstLine="640"/>
        <w:rPr>
          <w:rFonts w:eastAsia="仿宋_GB2312"/>
          <w:sz w:val="32"/>
          <w:szCs w:val="32"/>
        </w:rPr>
      </w:pPr>
      <w:r>
        <w:rPr>
          <w:rFonts w:eastAsia="仿宋_GB2312"/>
          <w:sz w:val="32"/>
          <w:szCs w:val="32"/>
        </w:rPr>
        <w:t>2021年政府性基金预算财政拨款支出13.71万元。</w:t>
      </w:r>
    </w:p>
    <w:p w14:paraId="2262ED70">
      <w:pPr>
        <w:numPr>
          <w:ilvl w:val="0"/>
          <w:numId w:val="3"/>
        </w:numPr>
        <w:spacing w:line="600" w:lineRule="exact"/>
        <w:ind w:firstLine="640"/>
        <w:outlineLvl w:val="1"/>
        <w:rPr>
          <w:rStyle w:val="26"/>
          <w:rFonts w:ascii="Times New Roman" w:hAnsi="Times New Roman" w:eastAsia="黑体" w:cs="Times New Roman"/>
          <w:b w:val="0"/>
        </w:rPr>
      </w:pPr>
      <w:bookmarkStart w:id="52" w:name="_Toc15377219"/>
      <w:bookmarkStart w:id="53" w:name="_Toc15396611"/>
      <w:r>
        <w:rPr>
          <w:rStyle w:val="26"/>
          <w:rFonts w:ascii="Times New Roman" w:hAnsi="Times New Roman" w:eastAsia="黑体" w:cs="Times New Roman"/>
          <w:b w:val="0"/>
        </w:rPr>
        <w:t>国有资本经营预算支出决算情况说明</w:t>
      </w:r>
      <w:bookmarkEnd w:id="52"/>
      <w:bookmarkEnd w:id="53"/>
    </w:p>
    <w:p w14:paraId="271D2F85">
      <w:pPr>
        <w:spacing w:line="600" w:lineRule="exact"/>
        <w:ind w:firstLine="640"/>
        <w:rPr>
          <w:rFonts w:eastAsia="仿宋_GB2312"/>
          <w:sz w:val="32"/>
          <w:szCs w:val="32"/>
        </w:rPr>
      </w:pPr>
      <w:r>
        <w:rPr>
          <w:rFonts w:eastAsia="仿宋_GB2312"/>
          <w:sz w:val="32"/>
          <w:szCs w:val="32"/>
        </w:rPr>
        <w:t>2021年国有资本经营预算财政拨款支出0万元。</w:t>
      </w:r>
    </w:p>
    <w:p w14:paraId="6B71ED37">
      <w:pPr>
        <w:numPr>
          <w:ilvl w:val="0"/>
          <w:numId w:val="3"/>
        </w:numPr>
        <w:spacing w:line="600" w:lineRule="exact"/>
        <w:ind w:firstLine="640"/>
        <w:outlineLvl w:val="1"/>
        <w:rPr>
          <w:rStyle w:val="26"/>
          <w:rFonts w:ascii="Times New Roman" w:hAnsi="Times New Roman" w:eastAsia="黑体" w:cs="Times New Roman"/>
          <w:b w:val="0"/>
        </w:rPr>
      </w:pPr>
      <w:bookmarkStart w:id="54" w:name="_Toc15396612"/>
      <w:bookmarkStart w:id="55" w:name="_Toc15377221"/>
      <w:r>
        <w:rPr>
          <w:rStyle w:val="26"/>
          <w:rFonts w:ascii="Times New Roman" w:hAnsi="Times New Roman" w:eastAsia="黑体" w:cs="Times New Roman"/>
          <w:b w:val="0"/>
        </w:rPr>
        <w:t>其他重要事项的情况说明</w:t>
      </w:r>
      <w:bookmarkEnd w:id="54"/>
      <w:bookmarkEnd w:id="55"/>
    </w:p>
    <w:p w14:paraId="51682819">
      <w:pPr>
        <w:spacing w:line="600" w:lineRule="exact"/>
        <w:ind w:firstLine="643" w:firstLineChars="200"/>
        <w:outlineLvl w:val="2"/>
        <w:rPr>
          <w:rFonts w:eastAsia="仿宋"/>
          <w:sz w:val="32"/>
          <w:szCs w:val="32"/>
        </w:rPr>
      </w:pPr>
      <w:bookmarkStart w:id="56" w:name="_Toc15377222"/>
      <w:r>
        <w:rPr>
          <w:rFonts w:eastAsia="仿宋"/>
          <w:b/>
          <w:sz w:val="32"/>
          <w:szCs w:val="32"/>
        </w:rPr>
        <w:t>（一）机关运行经费支出情况</w:t>
      </w:r>
      <w:bookmarkEnd w:id="56"/>
    </w:p>
    <w:p w14:paraId="7C1C5443">
      <w:pPr>
        <w:spacing w:line="600" w:lineRule="exact"/>
        <w:ind w:firstLine="640" w:firstLineChars="200"/>
        <w:rPr>
          <w:rFonts w:eastAsia="仿宋_GB2312"/>
          <w:sz w:val="32"/>
          <w:szCs w:val="32"/>
        </w:rPr>
      </w:pPr>
      <w:r>
        <w:rPr>
          <w:rFonts w:eastAsia="仿宋_GB2312"/>
          <w:sz w:val="32"/>
          <w:szCs w:val="32"/>
        </w:rPr>
        <w:t>2021年，市经济和信息化局机关运行经费支出126.2万元，比2020年增加24.07万元，增长23.56%，主要原因是新增人员造成运行经费增加。</w:t>
      </w:r>
    </w:p>
    <w:p w14:paraId="3DEBBE5A">
      <w:pPr>
        <w:autoSpaceDE w:val="0"/>
        <w:autoSpaceDN w:val="0"/>
        <w:adjustRightInd w:val="0"/>
        <w:spacing w:line="600" w:lineRule="exact"/>
        <w:ind w:firstLine="643" w:firstLineChars="200"/>
        <w:jc w:val="left"/>
        <w:outlineLvl w:val="2"/>
        <w:rPr>
          <w:rFonts w:eastAsia="仿宋"/>
          <w:b/>
          <w:sz w:val="32"/>
          <w:szCs w:val="32"/>
        </w:rPr>
      </w:pPr>
      <w:bookmarkStart w:id="57" w:name="_Toc15377223"/>
      <w:r>
        <w:rPr>
          <w:rFonts w:eastAsia="仿宋"/>
          <w:b/>
          <w:sz w:val="32"/>
          <w:szCs w:val="32"/>
        </w:rPr>
        <w:t>（二）政府采购支出情况</w:t>
      </w:r>
      <w:bookmarkEnd w:id="57"/>
    </w:p>
    <w:p w14:paraId="4BACACCD">
      <w:pPr>
        <w:spacing w:line="600" w:lineRule="exact"/>
        <w:ind w:firstLine="640" w:firstLineChars="200"/>
        <w:rPr>
          <w:rFonts w:eastAsia="仿宋_GB2312"/>
          <w:sz w:val="32"/>
          <w:szCs w:val="32"/>
        </w:rPr>
      </w:pPr>
      <w:r>
        <w:rPr>
          <w:rFonts w:eastAsia="仿宋_GB2312"/>
          <w:sz w:val="32"/>
          <w:szCs w:val="32"/>
        </w:rPr>
        <w:t>2021年</w:t>
      </w:r>
      <w:r>
        <w:rPr>
          <w:rFonts w:hint="eastAsia" w:eastAsia="仿宋_GB2312"/>
          <w:sz w:val="32"/>
          <w:szCs w:val="32"/>
        </w:rPr>
        <w:t>，</w:t>
      </w:r>
      <w:r>
        <w:rPr>
          <w:rFonts w:eastAsia="仿宋_GB2312"/>
          <w:sz w:val="32"/>
          <w:szCs w:val="32"/>
        </w:rPr>
        <w:t>市经济和信息化局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14:paraId="545184AC">
      <w:pPr>
        <w:autoSpaceDE w:val="0"/>
        <w:autoSpaceDN w:val="0"/>
        <w:adjustRightInd w:val="0"/>
        <w:spacing w:line="600" w:lineRule="exact"/>
        <w:ind w:firstLine="643" w:firstLineChars="200"/>
        <w:jc w:val="left"/>
        <w:outlineLvl w:val="2"/>
        <w:rPr>
          <w:rFonts w:eastAsia="仿宋"/>
          <w:b/>
          <w:sz w:val="32"/>
          <w:szCs w:val="32"/>
        </w:rPr>
      </w:pPr>
      <w:bookmarkStart w:id="58" w:name="_Toc15377224"/>
      <w:r>
        <w:rPr>
          <w:rFonts w:eastAsia="仿宋"/>
          <w:b/>
          <w:sz w:val="32"/>
          <w:szCs w:val="32"/>
        </w:rPr>
        <w:t>（三）国有资产占有使用情况</w:t>
      </w:r>
      <w:bookmarkEnd w:id="58"/>
    </w:p>
    <w:p w14:paraId="1371BB22">
      <w:pPr>
        <w:autoSpaceDE w:val="0"/>
        <w:autoSpaceDN w:val="0"/>
        <w:adjustRightInd w:val="0"/>
        <w:spacing w:line="600" w:lineRule="exact"/>
        <w:ind w:firstLine="640" w:firstLineChars="200"/>
        <w:jc w:val="left"/>
        <w:rPr>
          <w:rFonts w:eastAsia="仿宋_GB2312"/>
          <w:sz w:val="32"/>
          <w:szCs w:val="32"/>
        </w:rPr>
      </w:pPr>
      <w:r>
        <w:rPr>
          <w:rFonts w:eastAsia="仿宋_GB2312"/>
          <w:sz w:val="32"/>
          <w:szCs w:val="32"/>
        </w:rPr>
        <w:t>截至2021年12月31日，市经济和信息化局共有车辆4辆，其中：主要领导干部用车0辆、机要通信用车0辆、应急保障用车0辆、特种专业技术用车3辆、其他用车1辆。</w:t>
      </w:r>
      <w:r>
        <w:rPr>
          <w:rFonts w:eastAsia="仿宋_GB2312"/>
          <w:color w:val="000000"/>
          <w:sz w:val="32"/>
          <w:szCs w:val="32"/>
        </w:rPr>
        <w:t>其他用车主要是用于</w:t>
      </w:r>
      <w:r>
        <w:rPr>
          <w:rFonts w:eastAsia="仿宋"/>
          <w:color w:val="000000"/>
          <w:sz w:val="32"/>
          <w:szCs w:val="32"/>
        </w:rPr>
        <w:t>主要用于保障我局开展日常各项工作等用车，</w:t>
      </w:r>
      <w:r>
        <w:rPr>
          <w:rFonts w:eastAsia="仿宋_GB2312"/>
          <w:sz w:val="32"/>
          <w:szCs w:val="32"/>
        </w:rPr>
        <w:t>单价50万元以上通用设备4台（套），单价100万元以上专用设备0台（套）。</w:t>
      </w:r>
    </w:p>
    <w:p w14:paraId="5BC5A840">
      <w:pPr>
        <w:autoSpaceDE w:val="0"/>
        <w:autoSpaceDN w:val="0"/>
        <w:adjustRightInd w:val="0"/>
        <w:spacing w:line="600" w:lineRule="exact"/>
        <w:ind w:firstLine="643" w:firstLineChars="200"/>
        <w:jc w:val="left"/>
        <w:outlineLvl w:val="2"/>
        <w:rPr>
          <w:rFonts w:eastAsia="仿宋"/>
          <w:b/>
          <w:sz w:val="32"/>
          <w:szCs w:val="32"/>
        </w:rPr>
      </w:pPr>
      <w:r>
        <w:rPr>
          <w:rFonts w:eastAsia="仿宋"/>
          <w:b/>
          <w:sz w:val="32"/>
          <w:szCs w:val="32"/>
        </w:rPr>
        <w:t>（四）预算绩效管理情况</w:t>
      </w:r>
    </w:p>
    <w:p w14:paraId="7CAB4F23">
      <w:pPr>
        <w:spacing w:line="580" w:lineRule="exact"/>
        <w:ind w:firstLine="640"/>
        <w:rPr>
          <w:rFonts w:eastAsia="仿宋_GB2312"/>
          <w:sz w:val="32"/>
          <w:szCs w:val="32"/>
        </w:rPr>
      </w:pPr>
      <w:r>
        <w:rPr>
          <w:rFonts w:eastAsia="仿宋_GB2312"/>
          <w:sz w:val="32"/>
          <w:szCs w:val="32"/>
        </w:rPr>
        <w:t>根据预算绩效管理要求，本部门在2021年度预算编制阶段，组织对工业招商引资、电子政务外网租赁费和协同办公平台运行维护费、攀枝花无线电监管等7个项目开展了预算事前绩效评估，对7个项目编制了绩效目标，预算执行过程中，选取3个项目开展绩效监控，年终执行完毕后，对7个项目开展了绩效自评。同时，本部门对2021年部门整体开展绩效自评，《2021年攀枝花市经济和信息化局部门整体绩效评价报告》见附件（第四部分）。从评价情况来看部门支出绩效指标均达到了预期设定的目标值，绩效目标完成较好，出色的完成了上级下达的目标任务。</w:t>
      </w:r>
    </w:p>
    <w:p w14:paraId="784C5630">
      <w:pPr>
        <w:pStyle w:val="2"/>
        <w:spacing w:before="93"/>
        <w:rPr>
          <w:rFonts w:hint="eastAsia"/>
        </w:rPr>
      </w:pPr>
    </w:p>
    <w:p w14:paraId="3CEF31CC">
      <w:pPr>
        <w:pStyle w:val="2"/>
        <w:spacing w:before="93"/>
        <w:rPr>
          <w:rFonts w:hint="eastAsia"/>
        </w:rPr>
      </w:pPr>
    </w:p>
    <w:p w14:paraId="0C323BCD">
      <w:pPr>
        <w:pStyle w:val="2"/>
        <w:spacing w:before="93"/>
        <w:rPr>
          <w:rFonts w:hint="eastAsia"/>
        </w:rPr>
      </w:pPr>
    </w:p>
    <w:p w14:paraId="6E68130B">
      <w:pPr>
        <w:pStyle w:val="2"/>
        <w:spacing w:before="93"/>
        <w:rPr>
          <w:rFonts w:hint="eastAsia"/>
        </w:rPr>
      </w:pPr>
    </w:p>
    <w:p w14:paraId="012EF81B">
      <w:pPr>
        <w:pStyle w:val="2"/>
        <w:spacing w:before="93"/>
        <w:rPr>
          <w:rFonts w:hint="eastAsia"/>
        </w:rPr>
      </w:pPr>
    </w:p>
    <w:p w14:paraId="646A241F">
      <w:pPr>
        <w:pStyle w:val="2"/>
        <w:spacing w:before="93"/>
        <w:rPr>
          <w:rFonts w:hint="eastAsia"/>
        </w:rPr>
      </w:pPr>
    </w:p>
    <w:p w14:paraId="42DA3725">
      <w:pPr>
        <w:pStyle w:val="2"/>
        <w:spacing w:before="93"/>
        <w:rPr>
          <w:rFonts w:hint="eastAsia"/>
        </w:rPr>
      </w:pPr>
    </w:p>
    <w:p w14:paraId="03958D46">
      <w:pPr>
        <w:pStyle w:val="2"/>
        <w:spacing w:before="93"/>
      </w:pPr>
    </w:p>
    <w:p w14:paraId="08E6F483">
      <w:pPr>
        <w:pStyle w:val="2"/>
        <w:spacing w:before="93"/>
      </w:pPr>
    </w:p>
    <w:p w14:paraId="454CE834">
      <w:pPr>
        <w:pStyle w:val="2"/>
        <w:spacing w:before="93"/>
      </w:pPr>
    </w:p>
    <w:p w14:paraId="54569806">
      <w:pPr>
        <w:pStyle w:val="2"/>
        <w:spacing w:before="93"/>
      </w:pPr>
    </w:p>
    <w:p w14:paraId="75512C4A">
      <w:pPr>
        <w:pStyle w:val="2"/>
        <w:spacing w:before="93"/>
      </w:pPr>
    </w:p>
    <w:p w14:paraId="6AAE51A0">
      <w:pPr>
        <w:pStyle w:val="2"/>
        <w:spacing w:before="93"/>
      </w:pPr>
    </w:p>
    <w:p w14:paraId="55B9C59B">
      <w:pPr>
        <w:pStyle w:val="2"/>
        <w:spacing w:before="93"/>
      </w:pPr>
    </w:p>
    <w:p w14:paraId="1A000A8B">
      <w:pPr>
        <w:pStyle w:val="2"/>
        <w:spacing w:before="93"/>
      </w:pPr>
    </w:p>
    <w:p w14:paraId="0208F7CE">
      <w:pPr>
        <w:pStyle w:val="2"/>
        <w:spacing w:before="93"/>
      </w:pPr>
    </w:p>
    <w:p w14:paraId="149101AD">
      <w:pPr>
        <w:pStyle w:val="2"/>
        <w:spacing w:before="93"/>
      </w:pPr>
    </w:p>
    <w:p w14:paraId="1AE7D94D">
      <w:pPr>
        <w:spacing w:line="580" w:lineRule="exact"/>
        <w:ind w:firstLine="640" w:firstLineChars="200"/>
        <w:rPr>
          <w:rFonts w:eastAsia="仿宋_GB2312"/>
          <w:sz w:val="32"/>
          <w:szCs w:val="32"/>
        </w:rPr>
      </w:pPr>
    </w:p>
    <w:p w14:paraId="45B71D85">
      <w:pPr>
        <w:numPr>
          <w:ilvl w:val="0"/>
          <w:numId w:val="4"/>
        </w:numPr>
        <w:spacing w:line="600" w:lineRule="exact"/>
        <w:ind w:firstLine="660" w:firstLineChars="150"/>
        <w:jc w:val="center"/>
        <w:outlineLvl w:val="0"/>
        <w:rPr>
          <w:rStyle w:val="25"/>
          <w:rFonts w:eastAsia="黑体"/>
          <w:b w:val="0"/>
        </w:rPr>
      </w:pPr>
      <w:bookmarkStart w:id="59" w:name="_Toc15396613"/>
      <w:bookmarkStart w:id="60" w:name="_Toc15377225"/>
      <w:r>
        <w:rPr>
          <w:rFonts w:eastAsia="黑体"/>
          <w:sz w:val="44"/>
          <w:szCs w:val="44"/>
        </w:rPr>
        <w:t>名</w:t>
      </w:r>
      <w:r>
        <w:rPr>
          <w:rStyle w:val="25"/>
          <w:rFonts w:eastAsia="黑体"/>
          <w:b w:val="0"/>
        </w:rPr>
        <w:t>词解释</w:t>
      </w:r>
      <w:bookmarkEnd w:id="59"/>
      <w:bookmarkEnd w:id="60"/>
    </w:p>
    <w:p w14:paraId="5E96E45A">
      <w:pPr>
        <w:spacing w:line="600" w:lineRule="exact"/>
        <w:jc w:val="left"/>
        <w:rPr>
          <w:b/>
          <w:sz w:val="44"/>
          <w:szCs w:val="44"/>
        </w:rPr>
      </w:pPr>
    </w:p>
    <w:p w14:paraId="71C1A27E">
      <w:pPr>
        <w:pStyle w:val="23"/>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1.财政拨款收入：指单位从同级财政部门取得的财政预算资金。</w:t>
      </w:r>
    </w:p>
    <w:p w14:paraId="41937FF6">
      <w:pPr>
        <w:pStyle w:val="23"/>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2.其他收入：指单位取得的除上述收入以外的各项收入。主要是利息收入。</w:t>
      </w:r>
    </w:p>
    <w:p w14:paraId="4E805F8F">
      <w:pPr>
        <w:pStyle w:val="23"/>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3.年初结转和结余：指以前年度尚未完成、结转到本年按有关规定继续使用的资金。</w:t>
      </w:r>
    </w:p>
    <w:p w14:paraId="6A457AA8">
      <w:pPr>
        <w:pStyle w:val="23"/>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4.年末结转和结余：指单位按有关规定结转到下年或以后年度继续使用的资金。 </w:t>
      </w:r>
    </w:p>
    <w:p w14:paraId="0BC303B1">
      <w:pPr>
        <w:pStyle w:val="23"/>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5.一般公共服务（类）商贸事务（款）行政运行（项）：指行政单位（包括实行公务员管理的事业单位）的基本支出。</w:t>
      </w:r>
    </w:p>
    <w:p w14:paraId="07F3123F">
      <w:pPr>
        <w:spacing w:line="560" w:lineRule="exact"/>
        <w:ind w:firstLine="640"/>
        <w:rPr>
          <w:rFonts w:eastAsia="仿宋_GB2312"/>
          <w:kern w:val="0"/>
          <w:sz w:val="32"/>
          <w:szCs w:val="32"/>
        </w:rPr>
      </w:pPr>
      <w:r>
        <w:rPr>
          <w:rFonts w:eastAsia="仿宋_GB2312"/>
          <w:sz w:val="32"/>
          <w:szCs w:val="32"/>
        </w:rPr>
        <w:t>6.</w:t>
      </w:r>
      <w:r>
        <w:rPr>
          <w:rFonts w:eastAsia="仿宋_GB2312"/>
          <w:kern w:val="0"/>
          <w:sz w:val="32"/>
          <w:szCs w:val="32"/>
        </w:rPr>
        <w:t>一般公共服务（类）政府办公厅（室）及相关机构事务（款）事业运行（项）：指事业单位的基本支出，不包括行政单位（包括实行公务员管理的事业单位）、后勤服务中心、医务室等附属事业单位。</w:t>
      </w:r>
    </w:p>
    <w:p w14:paraId="148E112D">
      <w:pPr>
        <w:pStyle w:val="23"/>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7.一般公共服务（类）商贸事务（款）一般行政管理事务（项）：指行政单位（包括实行公务员管理的事业单位）未单独设置项级科目的其他项目支出。</w:t>
      </w:r>
    </w:p>
    <w:p w14:paraId="20179117">
      <w:pPr>
        <w:pStyle w:val="23"/>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8.</w:t>
      </w:r>
      <w:r>
        <w:rPr>
          <w:rFonts w:ascii="Times New Roman" w:hAnsi="Times New Roman" w:eastAsia="仿宋_GB2312" w:cs="Times New Roman"/>
          <w:color w:val="auto"/>
          <w:sz w:val="32"/>
          <w:szCs w:val="32"/>
        </w:rPr>
        <w:t>一般公共服务（类）商贸事务（款）其他商贸事务支出（项）：指除基本支出、其他项目支出以外的商贸事务支出。</w:t>
      </w:r>
    </w:p>
    <w:p w14:paraId="0B81B56F">
      <w:pPr>
        <w:ind w:firstLine="640" w:firstLineChars="200"/>
        <w:rPr>
          <w:rFonts w:eastAsia="仿宋_GB2312"/>
          <w:sz w:val="32"/>
          <w:szCs w:val="32"/>
        </w:rPr>
      </w:pPr>
      <w:r>
        <w:rPr>
          <w:rFonts w:eastAsia="仿宋_GB2312"/>
          <w:sz w:val="32"/>
          <w:szCs w:val="32"/>
        </w:rPr>
        <w:t>9.一般公共服务（类）组织事务（款）其他组织事务支出（项）指其他用于中国共产党组织部门的事务支出。</w:t>
      </w:r>
    </w:p>
    <w:p w14:paraId="1A438E49">
      <w:pPr>
        <w:ind w:firstLine="640" w:firstLineChars="200"/>
        <w:rPr>
          <w:rFonts w:eastAsia="仿宋_GB2312"/>
          <w:sz w:val="32"/>
          <w:szCs w:val="32"/>
        </w:rPr>
      </w:pPr>
      <w:r>
        <w:rPr>
          <w:rFonts w:eastAsia="仿宋_GB2312"/>
          <w:sz w:val="32"/>
          <w:szCs w:val="32"/>
        </w:rPr>
        <w:t>10.般公共服务（类）市场监督管理事务（款）一般行政管理事务（项）:指行政单位（包括实行公务员管理的事业单位）未单独设置项级科目的其他项目支出。</w:t>
      </w:r>
    </w:p>
    <w:p w14:paraId="4A018716">
      <w:pPr>
        <w:pStyle w:val="23"/>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11.</w:t>
      </w:r>
      <w:r>
        <w:rPr>
          <w:rFonts w:ascii="Times New Roman" w:hAnsi="Times New Roman" w:eastAsia="仿宋_GB2312" w:cs="Times New Roman"/>
          <w:color w:val="auto"/>
          <w:sz w:val="32"/>
          <w:szCs w:val="32"/>
        </w:rPr>
        <w:t>科学技术（类）科学技术管理事务（款）其他科学技术管理事务支出（项）:指其他用于科学技术管理事务的支出。</w:t>
      </w:r>
    </w:p>
    <w:p w14:paraId="59FA1F9A">
      <w:pPr>
        <w:ind w:firstLine="640" w:firstLineChars="200"/>
        <w:rPr>
          <w:rFonts w:eastAsia="仿宋_GB2312"/>
          <w:sz w:val="32"/>
          <w:szCs w:val="32"/>
        </w:rPr>
      </w:pPr>
      <w:r>
        <w:rPr>
          <w:rFonts w:eastAsia="仿宋_GB2312"/>
          <w:sz w:val="32"/>
          <w:szCs w:val="32"/>
        </w:rPr>
        <w:t>12.社会保障和就业（类）行政事业单位离退休（款）未归口管理的行政事业单位离退休（项）：指行政单位(包括实行公务员管理的事业单位)开支的离退休支出。</w:t>
      </w:r>
    </w:p>
    <w:p w14:paraId="7F6120C8">
      <w:pPr>
        <w:pStyle w:val="23"/>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13.</w:t>
      </w:r>
      <w:r>
        <w:rPr>
          <w:rFonts w:ascii="Times New Roman" w:hAnsi="Times New Roman" w:eastAsia="仿宋_GB2312" w:cs="Times New Roman"/>
          <w:color w:val="auto"/>
          <w:sz w:val="32"/>
          <w:szCs w:val="32"/>
        </w:rPr>
        <w:t>社会保障和就业（类）行政事业单位离退休（款）机关事业单位基本养老保险缴费支出（项）：指机关事业单位实施养老保险制度由单位缴纳的基本养老保险费支出。</w:t>
      </w:r>
    </w:p>
    <w:p w14:paraId="5D2E79FE">
      <w:pPr>
        <w:ind w:firstLine="640" w:firstLineChars="200"/>
        <w:rPr>
          <w:rFonts w:eastAsia="仿宋_GB2312"/>
          <w:kern w:val="0"/>
          <w:sz w:val="32"/>
          <w:szCs w:val="32"/>
        </w:rPr>
      </w:pPr>
      <w:r>
        <w:rPr>
          <w:rFonts w:eastAsia="仿宋_GB2312"/>
          <w:sz w:val="32"/>
          <w:szCs w:val="32"/>
        </w:rPr>
        <w:t>14.社会保障和就业（类）抚恤（款）死亡抚恤（项）：指按规定用于烈士和牺牲、病故人员家属的一次性和定期抚恤金以及丧葬补助费。</w:t>
      </w:r>
    </w:p>
    <w:p w14:paraId="0F8A42C2">
      <w:pPr>
        <w:ind w:firstLine="640" w:firstLineChars="200"/>
        <w:rPr>
          <w:rFonts w:eastAsia="仿宋_GB2312"/>
          <w:kern w:val="0"/>
          <w:sz w:val="32"/>
          <w:szCs w:val="32"/>
        </w:rPr>
      </w:pPr>
      <w:r>
        <w:rPr>
          <w:rFonts w:eastAsia="仿宋_GB2312"/>
          <w:sz w:val="32"/>
          <w:szCs w:val="32"/>
        </w:rPr>
        <w:t>15.</w:t>
      </w:r>
      <w:r>
        <w:rPr>
          <w:rFonts w:eastAsia="仿宋_GB2312"/>
          <w:kern w:val="0"/>
          <w:sz w:val="32"/>
          <w:szCs w:val="32"/>
        </w:rPr>
        <w:t>资源勘探信息等支出（类）工业和信息产业监管（款）无线电监管（项）：指无线电监管方面的支出。</w:t>
      </w:r>
    </w:p>
    <w:p w14:paraId="1FBD0AA4">
      <w:pPr>
        <w:pStyle w:val="23"/>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16.</w:t>
      </w:r>
      <w:r>
        <w:rPr>
          <w:rFonts w:ascii="Times New Roman" w:hAnsi="Times New Roman" w:eastAsia="仿宋_GB2312" w:cs="Times New Roman"/>
          <w:color w:val="auto"/>
          <w:sz w:val="32"/>
          <w:szCs w:val="32"/>
        </w:rPr>
        <w:t>资源勘探信息等支出（类）制造业（款）其他制造业支出（项）：指其他用于制造业方面的支出。</w:t>
      </w:r>
    </w:p>
    <w:p w14:paraId="355F552A">
      <w:pPr>
        <w:ind w:firstLine="640" w:firstLineChars="200"/>
        <w:rPr>
          <w:rFonts w:eastAsia="仿宋_GB2312"/>
          <w:sz w:val="32"/>
          <w:szCs w:val="32"/>
        </w:rPr>
      </w:pPr>
      <w:r>
        <w:rPr>
          <w:rFonts w:eastAsia="仿宋_GB2312"/>
          <w:sz w:val="32"/>
          <w:szCs w:val="32"/>
        </w:rPr>
        <w:t>17.资源勘探信息等支出（类）工业和信息产业监管（款）其他工业和信息产业监管支出（项）：指除工业和信息产业监管、无线电监管、行业监管等以外的其他用于工业和信息产业监管支出。</w:t>
      </w:r>
    </w:p>
    <w:p w14:paraId="0CC9CC1D">
      <w:pPr>
        <w:pStyle w:val="23"/>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18.</w:t>
      </w:r>
      <w:r>
        <w:rPr>
          <w:rFonts w:ascii="Times New Roman" w:hAnsi="Times New Roman" w:eastAsia="仿宋_GB2312" w:cs="Times New Roman"/>
          <w:color w:val="auto"/>
          <w:sz w:val="32"/>
          <w:szCs w:val="32"/>
        </w:rPr>
        <w:t>住房保障支出（类）住房改革支出（款）住房公积金：指行政事业单位按人力资源和社会保障部、财政部规定的基本工资和津贴补贴以及规定比例为职工缴纳的住房公积金。</w:t>
      </w:r>
    </w:p>
    <w:p w14:paraId="20A90554">
      <w:pPr>
        <w:ind w:firstLine="640" w:firstLineChars="200"/>
        <w:rPr>
          <w:rFonts w:eastAsia="仿宋_GB2312"/>
          <w:sz w:val="32"/>
          <w:szCs w:val="32"/>
        </w:rPr>
      </w:pPr>
      <w:r>
        <w:rPr>
          <w:rFonts w:eastAsia="仿宋_GB2312"/>
          <w:sz w:val="32"/>
          <w:szCs w:val="32"/>
        </w:rPr>
        <w:t>19.基本支出：指为保障机构正常运转、完成日常工作任务而发生的人员支出和公用支出。</w:t>
      </w:r>
    </w:p>
    <w:p w14:paraId="16223C00">
      <w:pPr>
        <w:ind w:firstLine="640" w:firstLineChars="200"/>
        <w:rPr>
          <w:rFonts w:eastAsia="仿宋_GB2312"/>
          <w:sz w:val="32"/>
          <w:szCs w:val="32"/>
        </w:rPr>
      </w:pPr>
      <w:r>
        <w:rPr>
          <w:rFonts w:eastAsia="仿宋_GB2312"/>
          <w:sz w:val="32"/>
          <w:szCs w:val="32"/>
        </w:rPr>
        <w:t xml:space="preserve">20.项目支出：指在基本支出之外为完成特定行政任务和事业发展目标所发生的支出。 </w:t>
      </w:r>
    </w:p>
    <w:p w14:paraId="5C04211C">
      <w:pPr>
        <w:ind w:firstLine="640" w:firstLineChars="200"/>
        <w:rPr>
          <w:rFonts w:eastAsia="仿宋_GB2312"/>
          <w:sz w:val="32"/>
          <w:szCs w:val="32"/>
        </w:rPr>
      </w:pPr>
      <w:r>
        <w:rPr>
          <w:rFonts w:eastAsia="仿宋_GB2312"/>
          <w:sz w:val="32"/>
          <w:szCs w:val="32"/>
        </w:rPr>
        <w:t>21.经营支出：指事业单位在专业业务活动及其辅助活动之外开展非独立核算经营活动发生的支出。</w:t>
      </w:r>
    </w:p>
    <w:p w14:paraId="2D535C77">
      <w:pPr>
        <w:pStyle w:val="23"/>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079E53B">
      <w:pPr>
        <w:pStyle w:val="23"/>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E5B513F">
      <w:pPr>
        <w:spacing w:line="600" w:lineRule="exact"/>
        <w:jc w:val="center"/>
        <w:outlineLvl w:val="0"/>
        <w:rPr>
          <w:rStyle w:val="25"/>
          <w:rFonts w:eastAsia="黑体"/>
          <w:b w:val="0"/>
        </w:rPr>
      </w:pPr>
      <w:bookmarkStart w:id="61" w:name="_Toc15377226"/>
      <w:r>
        <w:rPr>
          <w:b/>
          <w:sz w:val="44"/>
          <w:szCs w:val="44"/>
        </w:rPr>
        <w:br w:type="page"/>
      </w:r>
      <w:bookmarkStart w:id="62" w:name="_Toc15396614"/>
      <w:r>
        <w:rPr>
          <w:rFonts w:eastAsia="黑体"/>
          <w:sz w:val="44"/>
          <w:szCs w:val="44"/>
        </w:rPr>
        <w:t>第</w:t>
      </w:r>
      <w:r>
        <w:rPr>
          <w:rStyle w:val="25"/>
          <w:rFonts w:eastAsia="黑体"/>
          <w:b w:val="0"/>
        </w:rPr>
        <w:t xml:space="preserve">四部分 </w:t>
      </w:r>
      <w:bookmarkEnd w:id="62"/>
      <w:r>
        <w:rPr>
          <w:rStyle w:val="25"/>
          <w:rFonts w:eastAsia="黑体"/>
          <w:b w:val="0"/>
        </w:rPr>
        <w:t>附件</w:t>
      </w:r>
    </w:p>
    <w:p w14:paraId="0439CB00">
      <w:pPr>
        <w:spacing w:line="572" w:lineRule="exact"/>
        <w:jc w:val="left"/>
        <w:outlineLvl w:val="0"/>
        <w:rPr>
          <w:rFonts w:eastAsia="方正小标宋简体"/>
          <w:sz w:val="44"/>
          <w:szCs w:val="44"/>
        </w:rPr>
      </w:pPr>
      <w:r>
        <w:rPr>
          <w:rFonts w:eastAsia="黑体"/>
          <w:sz w:val="32"/>
          <w:szCs w:val="32"/>
        </w:rPr>
        <w:t>附件1</w:t>
      </w:r>
    </w:p>
    <w:p w14:paraId="12273BB0">
      <w:pPr>
        <w:spacing w:line="572" w:lineRule="exact"/>
        <w:jc w:val="center"/>
        <w:rPr>
          <w:rFonts w:eastAsia="方正小标宋简体"/>
          <w:kern w:val="0"/>
          <w:sz w:val="40"/>
          <w:szCs w:val="44"/>
        </w:rPr>
      </w:pPr>
      <w:r>
        <w:rPr>
          <w:rFonts w:eastAsia="方正小标宋简体"/>
          <w:kern w:val="0"/>
          <w:sz w:val="40"/>
          <w:szCs w:val="44"/>
        </w:rPr>
        <w:t>2021年攀枝花市经济和信息化局</w:t>
      </w:r>
    </w:p>
    <w:p w14:paraId="2938D794">
      <w:pPr>
        <w:spacing w:line="572" w:lineRule="exact"/>
        <w:jc w:val="center"/>
        <w:rPr>
          <w:rFonts w:eastAsia="方正小标宋简体"/>
          <w:kern w:val="0"/>
          <w:sz w:val="40"/>
          <w:szCs w:val="44"/>
          <w:lang w:val="zh-CN"/>
        </w:rPr>
      </w:pPr>
      <w:r>
        <w:rPr>
          <w:rFonts w:eastAsia="方正小标宋简体"/>
          <w:kern w:val="0"/>
          <w:sz w:val="40"/>
          <w:szCs w:val="44"/>
        </w:rPr>
        <w:t>部门整体绩效评价报告</w:t>
      </w:r>
    </w:p>
    <w:p w14:paraId="4999D118">
      <w:pPr>
        <w:widowControl/>
        <w:adjustRightInd w:val="0"/>
        <w:snapToGrid w:val="0"/>
        <w:spacing w:line="572" w:lineRule="exact"/>
        <w:ind w:firstLine="480" w:firstLineChars="200"/>
        <w:contextualSpacing/>
        <w:jc w:val="left"/>
        <w:rPr>
          <w:rFonts w:eastAsia="黑体"/>
          <w:kern w:val="0"/>
          <w:sz w:val="24"/>
          <w:szCs w:val="32"/>
          <w:shd w:val="clear" w:color="auto" w:fill="FFFFFF"/>
        </w:rPr>
      </w:pPr>
    </w:p>
    <w:p w14:paraId="10A7ABED">
      <w:pPr>
        <w:widowControl/>
        <w:adjustRightInd w:val="0"/>
        <w:snapToGrid w:val="0"/>
        <w:spacing w:line="572" w:lineRule="exact"/>
        <w:ind w:firstLine="640" w:firstLineChars="200"/>
        <w:contextualSpacing/>
        <w:jc w:val="left"/>
        <w:rPr>
          <w:rFonts w:eastAsia="黑体"/>
          <w:kern w:val="0"/>
          <w:sz w:val="32"/>
          <w:szCs w:val="32"/>
          <w:shd w:val="clear" w:color="auto" w:fill="FFFFFF"/>
          <w:lang w:val="zh-CN"/>
        </w:rPr>
      </w:pPr>
      <w:r>
        <w:rPr>
          <w:rFonts w:eastAsia="黑体"/>
          <w:kern w:val="0"/>
          <w:sz w:val="32"/>
          <w:szCs w:val="32"/>
          <w:shd w:val="clear" w:color="auto" w:fill="FFFFFF"/>
        </w:rPr>
        <w:t>一、</w:t>
      </w:r>
      <w:r>
        <w:rPr>
          <w:rFonts w:eastAsia="黑体"/>
          <w:kern w:val="0"/>
          <w:sz w:val="32"/>
          <w:szCs w:val="32"/>
          <w:shd w:val="clear" w:color="auto" w:fill="FFFFFF"/>
          <w:lang w:val="zh-CN"/>
        </w:rPr>
        <w:t>部门（单位）概况</w:t>
      </w:r>
    </w:p>
    <w:p w14:paraId="3095AF96">
      <w:pPr>
        <w:widowControl/>
        <w:adjustRightInd w:val="0"/>
        <w:snapToGrid w:val="0"/>
        <w:spacing w:line="572" w:lineRule="exact"/>
        <w:ind w:firstLine="640" w:firstLineChars="200"/>
        <w:contextualSpacing/>
        <w:jc w:val="left"/>
        <w:rPr>
          <w:rFonts w:eastAsia="仿宋_GB2312"/>
          <w:kern w:val="0"/>
          <w:sz w:val="32"/>
          <w:szCs w:val="32"/>
        </w:rPr>
      </w:pPr>
      <w:r>
        <w:rPr>
          <w:rFonts w:eastAsia="仿宋_GB2312"/>
          <w:kern w:val="0"/>
          <w:sz w:val="32"/>
          <w:szCs w:val="32"/>
        </w:rPr>
        <w:t>（一）机构组成。市经济和信息化局下属二级单位4个，其中：下属行政单位0个；</w:t>
      </w:r>
      <w:r>
        <w:rPr>
          <w:rFonts w:eastAsia="仿宋_GB2312"/>
          <w:kern w:val="0"/>
          <w:sz w:val="32"/>
          <w:szCs w:val="32"/>
          <w:shd w:val="clear" w:color="auto" w:fill="FFFFFF"/>
          <w:lang w:val="zh-CN"/>
        </w:rPr>
        <w:t>下属全额拨款参公事业单位1个—攀枝花市能源监察支队；下属全额拨款事业单位2个—攀枝花市经济与企业服务中心、攀枝花市大数据产业发展中心。下属二级事业单位1个—</w:t>
      </w:r>
      <w:r>
        <w:rPr>
          <w:rFonts w:eastAsia="仿宋_GB2312"/>
          <w:kern w:val="0"/>
          <w:sz w:val="32"/>
          <w:szCs w:val="32"/>
        </w:rPr>
        <w:t>攀枝花无线电监测站。</w:t>
      </w:r>
      <w:r>
        <w:rPr>
          <w:rFonts w:eastAsia="仿宋_GB2312"/>
          <w:kern w:val="0"/>
          <w:sz w:val="32"/>
          <w:szCs w:val="32"/>
        </w:rPr>
        <w:softHyphen/>
      </w:r>
      <w:r>
        <w:rPr>
          <w:rFonts w:eastAsia="仿宋_GB2312"/>
          <w:kern w:val="0"/>
          <w:sz w:val="32"/>
          <w:szCs w:val="32"/>
        </w:rPr>
        <w:t xml:space="preserve"> </w:t>
      </w:r>
    </w:p>
    <w:p w14:paraId="4FC4E3DE">
      <w:pPr>
        <w:snapToGrid w:val="0"/>
        <w:spacing w:line="580" w:lineRule="exact"/>
        <w:ind w:firstLine="640" w:firstLineChars="200"/>
        <w:rPr>
          <w:rFonts w:eastAsia="仿宋_GB2312"/>
          <w:sz w:val="32"/>
          <w:szCs w:val="32"/>
        </w:rPr>
      </w:pPr>
      <w:r>
        <w:rPr>
          <w:rFonts w:eastAsia="仿宋_GB2312"/>
          <w:kern w:val="0"/>
          <w:sz w:val="32"/>
          <w:szCs w:val="32"/>
          <w:shd w:val="clear" w:color="auto" w:fill="FFFFFF"/>
          <w:lang w:val="zh-CN"/>
        </w:rPr>
        <w:t>（二）机构职能。</w:t>
      </w:r>
      <w:r>
        <w:rPr>
          <w:rFonts w:eastAsia="仿宋_GB2312"/>
          <w:kern w:val="0"/>
          <w:sz w:val="32"/>
          <w:szCs w:val="32"/>
        </w:rPr>
        <w:t>市经济和信息化局</w:t>
      </w:r>
      <w:r>
        <w:rPr>
          <w:rFonts w:eastAsia="仿宋_GB2312"/>
          <w:sz w:val="32"/>
          <w:szCs w:val="32"/>
        </w:rPr>
        <w:t>是全市经济运行综合协调部门和全市工业经济、民营经济及信息产业的行业主管部门。负责职责范围内的安全生产和职业健康、生态环境保护、行政审批便民化工作；负责全市烟草工业发展、农业装备工业相关工作；负责全市盐业行业管理，组织编制盐业发展规划，制定并实施产业政策，承担食盐专营管理工作，负责医药行业管理。攀枝花无线电监测站主要职能是进行电磁环境测试、分析，为无线电管理机构规划、指配频率和审批无线电站的建设布局等提供技术依据。监测无线电台站，查找干扰源和未经批准使用的无线电台站。负责攀枝花市内无线电发射设备检测。</w:t>
      </w:r>
    </w:p>
    <w:p w14:paraId="5D454716">
      <w:pPr>
        <w:widowControl/>
        <w:adjustRightInd w:val="0"/>
        <w:snapToGrid w:val="0"/>
        <w:spacing w:line="572"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lang w:val="zh-CN"/>
        </w:rPr>
        <w:t>（三）人员概况。机关行政编制45名，机关工勤人员编制8名、参照公务员管理人员编制7名、事业编制3名。截至2021年年末，我局共有在职职工80人，其中公务员51人，机关工人9人，参照公务员管理人员10人、事业编制人员10人。机关离休人员4人，退休人员107人，享受遗属补助3人。下属二级事业单位无线电监测站，事业编制10名，实有在职人员8人，退休2人。</w:t>
      </w:r>
    </w:p>
    <w:p w14:paraId="06174DCE">
      <w:pPr>
        <w:widowControl/>
        <w:adjustRightInd w:val="0"/>
        <w:snapToGrid w:val="0"/>
        <w:spacing w:line="572" w:lineRule="exact"/>
        <w:ind w:firstLine="640" w:firstLineChars="200"/>
        <w:contextualSpacing/>
        <w:jc w:val="left"/>
        <w:rPr>
          <w:rFonts w:eastAsia="黑体"/>
          <w:kern w:val="0"/>
          <w:sz w:val="32"/>
          <w:szCs w:val="32"/>
          <w:shd w:val="clear" w:color="auto" w:fill="FFFFFF"/>
        </w:rPr>
      </w:pPr>
      <w:r>
        <w:rPr>
          <w:rFonts w:eastAsia="黑体"/>
          <w:kern w:val="0"/>
          <w:sz w:val="32"/>
          <w:szCs w:val="32"/>
          <w:shd w:val="clear" w:color="auto" w:fill="FFFFFF"/>
        </w:rPr>
        <w:t>二、部门财政资金收支情况</w:t>
      </w:r>
    </w:p>
    <w:p w14:paraId="096B90D8">
      <w:pPr>
        <w:widowControl/>
        <w:adjustRightInd w:val="0"/>
        <w:snapToGrid w:val="0"/>
        <w:spacing w:line="580" w:lineRule="exact"/>
        <w:ind w:firstLine="640" w:firstLineChars="200"/>
        <w:contextualSpacing/>
        <w:jc w:val="left"/>
        <w:rPr>
          <w:rFonts w:eastAsia="仿宋_GB2312"/>
          <w:color w:val="000000"/>
          <w:kern w:val="0"/>
          <w:sz w:val="32"/>
          <w:szCs w:val="32"/>
          <w:shd w:val="clear" w:color="auto" w:fill="FFFFFF"/>
          <w:lang w:val="zh-CN"/>
        </w:rPr>
      </w:pPr>
      <w:r>
        <w:rPr>
          <w:rFonts w:eastAsia="仿宋_GB2312"/>
          <w:kern w:val="0"/>
          <w:sz w:val="32"/>
          <w:szCs w:val="32"/>
          <w:shd w:val="clear" w:color="auto" w:fill="FFFFFF"/>
          <w:lang w:val="zh-CN"/>
        </w:rPr>
        <w:t>（一）部门财政资金收入情况。</w:t>
      </w:r>
      <w:r>
        <w:rPr>
          <w:rFonts w:eastAsia="仿宋"/>
          <w:spacing w:val="-4"/>
          <w:sz w:val="32"/>
          <w:szCs w:val="32"/>
        </w:rPr>
        <w:t>2021年财政拨款收入2758.96万元，其中:一般公共预算财政拨款收入2745.25万元，政府性基金预算财政拨款收入13.71万元。</w:t>
      </w:r>
    </w:p>
    <w:p w14:paraId="62A4EFEF">
      <w:pPr>
        <w:snapToGrid w:val="0"/>
        <w:spacing w:line="600" w:lineRule="exact"/>
        <w:ind w:firstLine="624"/>
        <w:rPr>
          <w:rFonts w:eastAsia="仿宋"/>
          <w:spacing w:val="-4"/>
          <w:sz w:val="32"/>
        </w:rPr>
      </w:pPr>
      <w:r>
        <w:rPr>
          <w:rFonts w:eastAsia="仿宋_GB2312"/>
          <w:kern w:val="0"/>
          <w:sz w:val="32"/>
          <w:szCs w:val="32"/>
          <w:shd w:val="clear" w:color="auto" w:fill="FFFFFF"/>
          <w:lang w:val="zh-CN"/>
        </w:rPr>
        <w:t>（二）部门财政资金支出情况。</w:t>
      </w:r>
      <w:r>
        <w:rPr>
          <w:rFonts w:eastAsia="仿宋"/>
          <w:spacing w:val="-4"/>
          <w:sz w:val="32"/>
          <w:szCs w:val="32"/>
        </w:rPr>
        <w:t>2021年财政拨款支出</w:t>
      </w:r>
      <w:r>
        <w:rPr>
          <w:rFonts w:eastAsia="仿宋"/>
          <w:spacing w:val="-4"/>
          <w:sz w:val="32"/>
        </w:rPr>
        <w:t>2321.81万元，其中基本支出2095.89万元（人员经费1962.05万元，日常公用经费133.84万元），项目支出225.92万元。</w:t>
      </w:r>
    </w:p>
    <w:p w14:paraId="78FBE23A">
      <w:pPr>
        <w:widowControl/>
        <w:adjustRightInd w:val="0"/>
        <w:snapToGrid w:val="0"/>
        <w:spacing w:line="572" w:lineRule="exact"/>
        <w:ind w:firstLine="640" w:firstLineChars="200"/>
        <w:contextualSpacing/>
        <w:jc w:val="left"/>
        <w:rPr>
          <w:rFonts w:eastAsia="黑体"/>
          <w:kern w:val="0"/>
          <w:sz w:val="32"/>
          <w:szCs w:val="32"/>
          <w:shd w:val="clear" w:color="auto" w:fill="FFFFFF"/>
        </w:rPr>
      </w:pPr>
      <w:r>
        <w:rPr>
          <w:rFonts w:eastAsia="黑体"/>
          <w:kern w:val="0"/>
          <w:sz w:val="32"/>
          <w:szCs w:val="32"/>
          <w:shd w:val="clear" w:color="auto" w:fill="FFFFFF"/>
        </w:rPr>
        <w:t>三、部门整体预算绩效管理情况</w:t>
      </w:r>
    </w:p>
    <w:p w14:paraId="06601BD6">
      <w:pPr>
        <w:widowControl/>
        <w:adjustRightInd w:val="0"/>
        <w:snapToGrid w:val="0"/>
        <w:spacing w:line="572"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（一）部门预算项目绩效管理。</w:t>
      </w:r>
    </w:p>
    <w:p w14:paraId="0567FB45">
      <w:pPr>
        <w:widowControl/>
        <w:adjustRightInd w:val="0"/>
        <w:snapToGrid w:val="0"/>
        <w:spacing w:line="572" w:lineRule="exact"/>
        <w:ind w:firstLine="640" w:firstLineChars="200"/>
        <w:contextualSpacing/>
        <w:rPr>
          <w:rFonts w:eastAsia="仿宋_GB2312"/>
          <w:kern w:val="0"/>
          <w:sz w:val="32"/>
          <w:szCs w:val="32"/>
          <w:shd w:val="clear" w:color="auto" w:fill="FFFFFF"/>
          <w:lang w:val="zh-CN"/>
        </w:rPr>
      </w:pPr>
      <w:r>
        <w:rPr>
          <w:rFonts w:eastAsia="仿宋_GB2312"/>
          <w:kern w:val="0"/>
          <w:sz w:val="32"/>
          <w:szCs w:val="32"/>
          <w:shd w:val="clear" w:color="auto" w:fill="FFFFFF"/>
          <w:lang w:val="zh-CN"/>
        </w:rPr>
        <w:t>2021 年年初预算安排财政拨款收入1820.18万元，其中：基本预算资金 1808.18万元，具体为市经济和信息化局1682.64万元，无线电监测站125.54万元；年初安排2个项目预算资金12万元。截至2021年末实际完成项目7个共计225.92万元，含4个市级项目：招商工作经费35.37万元、2021年度电子政务外网租赁费和协同办公平台运行维护费84.55万元、2020年“钒钛之光”创业领军人才培养经费33万元、业务运行费10万元、争取资金专项工作经费10万元。二是省级项目2个：2020年技改前期工作经费37万元、无线电频率占用费16.01万元。</w:t>
      </w:r>
    </w:p>
    <w:p w14:paraId="103C3B26">
      <w:pPr>
        <w:widowControl/>
        <w:adjustRightInd w:val="0"/>
        <w:snapToGrid w:val="0"/>
        <w:spacing w:line="572"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（二）结果应用情况。</w:t>
      </w:r>
    </w:p>
    <w:p w14:paraId="2520AECD">
      <w:pPr>
        <w:spacing w:line="580" w:lineRule="exact"/>
        <w:ind w:firstLine="640"/>
        <w:rPr>
          <w:rFonts w:eastAsia="仿宋"/>
          <w:sz w:val="32"/>
          <w:szCs w:val="32"/>
        </w:rPr>
      </w:pPr>
      <w:r>
        <w:rPr>
          <w:rFonts w:eastAsia="仿宋"/>
          <w:sz w:val="32"/>
          <w:szCs w:val="32"/>
        </w:rPr>
        <w:t>项目预算绩效的严格管理，保障了我局及下属事业单位的正常运转。通过自评、整改等一系列工作，引起工作人员的重视，遵守相关规定，提高支出效率，达到预期效果。</w:t>
      </w:r>
    </w:p>
    <w:p w14:paraId="7CFEB296">
      <w:pPr>
        <w:widowControl/>
        <w:numPr>
          <w:ilvl w:val="0"/>
          <w:numId w:val="5"/>
        </w:numPr>
        <w:adjustRightInd w:val="0"/>
        <w:snapToGrid w:val="0"/>
        <w:spacing w:line="580"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自评质量</w:t>
      </w:r>
    </w:p>
    <w:p w14:paraId="4ED86D45">
      <w:pPr>
        <w:spacing w:line="580" w:lineRule="exact"/>
        <w:ind w:firstLine="640"/>
        <w:rPr>
          <w:rFonts w:eastAsia="仿宋"/>
          <w:sz w:val="32"/>
          <w:szCs w:val="32"/>
        </w:rPr>
      </w:pPr>
      <w:r>
        <w:rPr>
          <w:rFonts w:eastAsia="仿宋_GB2312"/>
          <w:sz w:val="32"/>
          <w:szCs w:val="32"/>
        </w:rPr>
        <w:t>从评价情况来看部门支出绩效指标均达到了预期设定的目标值，绩效目标完成较好，出色的完成了上级下达的目标任务，</w:t>
      </w:r>
      <w:r>
        <w:rPr>
          <w:rFonts w:eastAsia="仿宋_GB2312"/>
          <w:kern w:val="0"/>
          <w:sz w:val="32"/>
          <w:szCs w:val="32"/>
          <w:shd w:val="clear" w:color="auto" w:fill="FFFFFF"/>
        </w:rPr>
        <w:t>自评准确度情况较好。</w:t>
      </w:r>
    </w:p>
    <w:p w14:paraId="17B15B08">
      <w:pPr>
        <w:widowControl/>
        <w:adjustRightInd w:val="0"/>
        <w:snapToGrid w:val="0"/>
        <w:spacing w:line="576" w:lineRule="exact"/>
        <w:ind w:firstLine="640" w:firstLineChars="200"/>
        <w:contextualSpacing/>
        <w:jc w:val="left"/>
        <w:rPr>
          <w:rFonts w:eastAsia="黑体"/>
          <w:kern w:val="0"/>
          <w:sz w:val="32"/>
          <w:szCs w:val="32"/>
          <w:shd w:val="clear" w:color="auto" w:fill="FFFFFF"/>
        </w:rPr>
      </w:pPr>
      <w:r>
        <w:rPr>
          <w:rFonts w:eastAsia="黑体"/>
          <w:kern w:val="0"/>
          <w:sz w:val="32"/>
          <w:szCs w:val="32"/>
          <w:shd w:val="clear" w:color="auto" w:fill="FFFFFF"/>
        </w:rPr>
        <w:t>四、评价结论及建议</w:t>
      </w:r>
    </w:p>
    <w:p w14:paraId="04F73C76">
      <w:pPr>
        <w:snapToGrid w:val="0"/>
        <w:spacing w:line="600" w:lineRule="exact"/>
        <w:ind w:firstLine="640" w:firstLineChars="200"/>
        <w:rPr>
          <w:rFonts w:eastAsia="仿宋"/>
          <w:color w:val="000000"/>
          <w:kern w:val="0"/>
          <w:sz w:val="32"/>
          <w:szCs w:val="32"/>
          <w:shd w:val="clear" w:color="auto" w:fill="FFFFFF"/>
        </w:rPr>
      </w:pPr>
      <w:r>
        <w:rPr>
          <w:rFonts w:eastAsia="仿宋_GB2312"/>
          <w:kern w:val="0"/>
          <w:sz w:val="32"/>
          <w:szCs w:val="32"/>
          <w:shd w:val="clear" w:color="auto" w:fill="FFFFFF"/>
          <w:lang w:val="zh-CN"/>
        </w:rPr>
        <w:t>（一）评价结论。</w:t>
      </w:r>
      <w:r>
        <w:rPr>
          <w:rFonts w:eastAsia="仿宋"/>
          <w:spacing w:val="-4"/>
          <w:sz w:val="32"/>
          <w:szCs w:val="32"/>
        </w:rPr>
        <w:t>我局项目绩效目标基整体完成较好</w:t>
      </w:r>
      <w:r>
        <w:rPr>
          <w:rFonts w:eastAsia="仿宋_GB2312"/>
          <w:sz w:val="32"/>
          <w:szCs w:val="32"/>
        </w:rPr>
        <w:t>，</w:t>
      </w:r>
      <w:r>
        <w:rPr>
          <w:rFonts w:eastAsia="仿宋"/>
          <w:spacing w:val="-4"/>
          <w:sz w:val="32"/>
          <w:szCs w:val="32"/>
        </w:rPr>
        <w:t>已达到年初设定目标值，个别项目存在资金执行率不高的情况。</w:t>
      </w:r>
    </w:p>
    <w:p w14:paraId="156591A5">
      <w:pPr>
        <w:snapToGrid w:val="0"/>
        <w:spacing w:line="600" w:lineRule="exact"/>
        <w:rPr>
          <w:rFonts w:eastAsia="仿宋"/>
          <w:spacing w:val="-4"/>
          <w:sz w:val="32"/>
          <w:szCs w:val="32"/>
        </w:rPr>
      </w:pPr>
      <w:r>
        <w:rPr>
          <w:rFonts w:eastAsia="仿宋"/>
          <w:spacing w:val="-4"/>
          <w:sz w:val="32"/>
          <w:szCs w:val="32"/>
        </w:rPr>
        <w:t>技术改造前期工作经费项目由于资金到位时间原因只完成部分目标任务，待2022年完成。</w:t>
      </w:r>
    </w:p>
    <w:p w14:paraId="0E25CC61">
      <w:pPr>
        <w:widowControl/>
        <w:adjustRightInd w:val="0"/>
        <w:snapToGrid w:val="0"/>
        <w:spacing w:line="580" w:lineRule="exact"/>
        <w:ind w:firstLine="640" w:firstLineChars="200"/>
        <w:contextualSpacing/>
        <w:jc w:val="left"/>
        <w:rPr>
          <w:rFonts w:eastAsia="仿宋_GB2312"/>
          <w:color w:val="000000"/>
          <w:kern w:val="0"/>
          <w:sz w:val="32"/>
          <w:szCs w:val="32"/>
          <w:shd w:val="clear" w:color="auto" w:fill="FFFFFF"/>
          <w:lang w:val="zh-CN"/>
        </w:rPr>
      </w:pPr>
      <w:r>
        <w:rPr>
          <w:rFonts w:eastAsia="仿宋_GB2312"/>
          <w:kern w:val="0"/>
          <w:sz w:val="32"/>
          <w:szCs w:val="32"/>
          <w:shd w:val="clear" w:color="auto" w:fill="FFFFFF"/>
          <w:lang w:val="zh-CN"/>
        </w:rPr>
        <w:t>（二）存在问题。因疫情影响部分业务调整，加上部分项目工作进度调整，导致资金执行率不高。</w:t>
      </w:r>
      <w:r>
        <w:rPr>
          <w:rFonts w:eastAsia="仿宋_GB2312"/>
          <w:color w:val="000000"/>
          <w:kern w:val="0"/>
          <w:sz w:val="32"/>
          <w:szCs w:val="32"/>
          <w:shd w:val="clear" w:color="auto" w:fill="FFFFFF"/>
          <w:lang w:val="zh-CN"/>
        </w:rPr>
        <w:t>因财政资金运转困难，导致个别项目在最后的付款阶段未完成。</w:t>
      </w:r>
    </w:p>
    <w:p w14:paraId="5F8E55C2">
      <w:pPr>
        <w:widowControl/>
        <w:adjustRightInd w:val="0"/>
        <w:snapToGrid w:val="0"/>
        <w:spacing w:line="576" w:lineRule="exact"/>
        <w:ind w:firstLine="640" w:firstLineChars="200"/>
        <w:contextualSpacing/>
        <w:jc w:val="left"/>
        <w:rPr>
          <w:rFonts w:eastAsia="仿宋_GB2312"/>
          <w:kern w:val="0"/>
          <w:sz w:val="32"/>
          <w:szCs w:val="32"/>
          <w:shd w:val="clear" w:color="auto" w:fill="FFFFFF"/>
        </w:rPr>
      </w:pPr>
      <w:r>
        <w:rPr>
          <w:rFonts w:eastAsia="仿宋_GB2312"/>
          <w:kern w:val="0"/>
          <w:sz w:val="32"/>
          <w:szCs w:val="32"/>
          <w:shd w:val="clear" w:color="auto" w:fill="FFFFFF"/>
          <w:lang w:val="zh-CN"/>
        </w:rPr>
        <w:t>（三）改进建议。我局会在以后的工作中做到项目早规划，早组织实施，按进度正常推进，争取当年的专项经费当年实施完毕，当年完成支付。</w:t>
      </w:r>
    </w:p>
    <w:p w14:paraId="23282410">
      <w:pPr>
        <w:pStyle w:val="2"/>
        <w:spacing w:before="93"/>
        <w:rPr>
          <w:rFonts w:ascii="Times New Roman"/>
          <w:sz w:val="32"/>
          <w:szCs w:val="32"/>
          <w:shd w:val="clear" w:color="auto" w:fill="FFFFFF"/>
          <w:lang w:val="zh-CN"/>
        </w:rPr>
      </w:pPr>
    </w:p>
    <w:p w14:paraId="6D3AFADC">
      <w:pPr>
        <w:pStyle w:val="2"/>
        <w:spacing w:before="93"/>
        <w:rPr>
          <w:rFonts w:ascii="Times New Roman"/>
          <w:sz w:val="32"/>
          <w:szCs w:val="32"/>
          <w:shd w:val="clear" w:color="auto" w:fill="FFFFFF"/>
          <w:lang w:val="zh-CN"/>
        </w:rPr>
      </w:pPr>
    </w:p>
    <w:p w14:paraId="023940B6">
      <w:pPr>
        <w:pStyle w:val="2"/>
        <w:spacing w:before="93"/>
        <w:rPr>
          <w:rFonts w:ascii="Times New Roman"/>
          <w:sz w:val="32"/>
          <w:szCs w:val="32"/>
          <w:shd w:val="clear" w:color="auto" w:fill="FFFFFF"/>
          <w:lang w:val="zh-CN"/>
        </w:rPr>
      </w:pPr>
    </w:p>
    <w:p w14:paraId="00DAE39C">
      <w:pPr>
        <w:pStyle w:val="2"/>
        <w:spacing w:before="93"/>
        <w:rPr>
          <w:rFonts w:ascii="Times New Roman"/>
          <w:lang w:val="zh-CN"/>
        </w:rPr>
      </w:pPr>
    </w:p>
    <w:p w14:paraId="3FAE7FE1">
      <w:pPr>
        <w:spacing w:line="600" w:lineRule="exact"/>
        <w:jc w:val="center"/>
        <w:rPr>
          <w:rFonts w:eastAsia="方正小标宋简体"/>
          <w:sz w:val="40"/>
          <w:szCs w:val="40"/>
        </w:rPr>
      </w:pPr>
      <w:r>
        <w:rPr>
          <w:rFonts w:eastAsia="方正小标宋简体"/>
          <w:sz w:val="40"/>
          <w:szCs w:val="40"/>
        </w:rPr>
        <w:t>2021年电子政务外网租赁费和协同办公平台</w:t>
      </w:r>
    </w:p>
    <w:p w14:paraId="01CC6EB3">
      <w:pPr>
        <w:spacing w:line="600" w:lineRule="exact"/>
        <w:jc w:val="center"/>
        <w:rPr>
          <w:rFonts w:eastAsia="方正小标宋简体"/>
          <w:sz w:val="40"/>
          <w:szCs w:val="40"/>
          <w:lang w:val="zh-CN"/>
        </w:rPr>
      </w:pPr>
      <w:r>
        <w:rPr>
          <w:rFonts w:eastAsia="方正小标宋简体"/>
          <w:sz w:val="40"/>
          <w:szCs w:val="40"/>
        </w:rPr>
        <w:t>运行维护</w:t>
      </w:r>
      <w:r>
        <w:rPr>
          <w:rFonts w:eastAsia="方正小标宋简体"/>
          <w:sz w:val="40"/>
          <w:szCs w:val="40"/>
          <w:lang w:val="zh-CN"/>
        </w:rPr>
        <w:t>项目支出绩效自评报告</w:t>
      </w:r>
    </w:p>
    <w:p w14:paraId="3DA83133">
      <w:pPr>
        <w:spacing w:line="600" w:lineRule="exact"/>
        <w:ind w:firstLine="883"/>
        <w:jc w:val="center"/>
        <w:rPr>
          <w:rFonts w:eastAsia="仿宋_GB2312"/>
          <w:sz w:val="32"/>
          <w:szCs w:val="32"/>
          <w:lang w:val="zh-CN"/>
        </w:rPr>
      </w:pPr>
      <w:r>
        <w:rPr>
          <w:rFonts w:eastAsia="仿宋_GB2312"/>
          <w:sz w:val="32"/>
          <w:szCs w:val="32"/>
          <w:lang w:val="zh-CN"/>
        </w:rPr>
        <w:t>（主管部门自评）</w:t>
      </w:r>
    </w:p>
    <w:p w14:paraId="3A0CDA1F">
      <w:pPr>
        <w:spacing w:line="600" w:lineRule="exact"/>
        <w:ind w:firstLine="640"/>
        <w:jc w:val="center"/>
        <w:rPr>
          <w:sz w:val="32"/>
          <w:szCs w:val="32"/>
          <w:lang w:val="zh-CN"/>
        </w:rPr>
      </w:pPr>
    </w:p>
    <w:p w14:paraId="3A2C5750">
      <w:pPr>
        <w:adjustRightInd w:val="0"/>
        <w:snapToGrid w:val="0"/>
        <w:spacing w:line="600"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14:paraId="6D251FF3">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（一）项目基本情况。</w:t>
      </w:r>
    </w:p>
    <w:p w14:paraId="11DBEACC">
      <w:pPr>
        <w:autoSpaceDE w:val="0"/>
        <w:autoSpaceDN w:val="0"/>
        <w:adjustRightInd w:val="0"/>
        <w:spacing w:line="600" w:lineRule="exact"/>
        <w:ind w:firstLine="640" w:firstLineChars="200"/>
        <w:jc w:val="left"/>
        <w:rPr>
          <w:rFonts w:eastAsia="仿宋_GB2312"/>
          <w:kern w:val="0"/>
          <w:sz w:val="32"/>
          <w:szCs w:val="32"/>
        </w:rPr>
      </w:pPr>
      <w:r>
        <w:rPr>
          <w:rFonts w:eastAsia="仿宋_GB2312"/>
          <w:sz w:val="32"/>
          <w:szCs w:val="32"/>
          <w:lang w:val="zh-CN"/>
        </w:rPr>
        <w:t>1．</w:t>
      </w:r>
      <w:r>
        <w:rPr>
          <w:rFonts w:eastAsia="仿宋_GB2312"/>
          <w:kern w:val="0"/>
          <w:sz w:val="32"/>
          <w:szCs w:val="32"/>
        </w:rPr>
        <w:t>项目主管部门职能职责。</w:t>
      </w:r>
      <w:r>
        <w:rPr>
          <w:rFonts w:eastAsia="仿宋_GB2312"/>
          <w:sz w:val="32"/>
          <w:szCs w:val="32"/>
          <w:lang w:val="zh-CN"/>
        </w:rPr>
        <w:t>市经济和信息化局下属事业单位</w:t>
      </w:r>
      <w:r>
        <w:rPr>
          <w:rFonts w:eastAsia="仿宋_GB2312"/>
          <w:kern w:val="0"/>
          <w:sz w:val="32"/>
          <w:szCs w:val="32"/>
        </w:rPr>
        <w:t>市大数据产业发展中心负责我市协同办公平台的运行维护管理，确保协同办公平台的正常运行。同时负责政务外网、政务云等基础设施建设和运维管理。</w:t>
      </w:r>
    </w:p>
    <w:p w14:paraId="167160E0">
      <w:pPr>
        <w:adjustRightInd w:val="0"/>
        <w:snapToGrid w:val="0"/>
        <w:spacing w:line="600" w:lineRule="exact"/>
        <w:ind w:firstLine="720"/>
        <w:rPr>
          <w:rFonts w:eastAsia="仿宋_GB2312"/>
          <w:sz w:val="32"/>
          <w:szCs w:val="32"/>
          <w:lang w:val="zh-CN"/>
        </w:rPr>
      </w:pPr>
      <w:r>
        <w:rPr>
          <w:rFonts w:eastAsia="仿宋_GB2312"/>
          <w:sz w:val="32"/>
          <w:szCs w:val="32"/>
          <w:lang w:val="zh-CN"/>
        </w:rPr>
        <w:t>2．项目立项、资金申报的依据。</w:t>
      </w:r>
      <w:r>
        <w:rPr>
          <w:rFonts w:eastAsia="仿宋_GB2312"/>
          <w:kern w:val="0"/>
          <w:sz w:val="32"/>
          <w:szCs w:val="32"/>
        </w:rPr>
        <w:t>协同办公平台：根据《攀枝花市协同办公平台建设工作领导小组第二次会议纪要》（市委办议事纪要2013年35期）、《攀枝花市协同办公平台短信平台服务费用谈判会议纪要》、《攀枝花市协同办公运行维护采购会议纪要》及两办文件精神，市级财政承担协同办公平台运维经费及短信服务费总额的40%。电子政务外网：《攀枝花电子政务网建设合作合同》、《攀枝花市电子政务外网安全运营保障平台建设合同》和《攀枝花市电子政务外网IPV6升级改造及接入电路业务合作补充合同》，经市经济和信息化局党组会议研究同意。</w:t>
      </w:r>
    </w:p>
    <w:p w14:paraId="4F4E4974">
      <w:pPr>
        <w:autoSpaceDE w:val="0"/>
        <w:autoSpaceDN w:val="0"/>
        <w:adjustRightInd w:val="0"/>
        <w:spacing w:line="600" w:lineRule="exact"/>
        <w:ind w:firstLine="640" w:firstLineChars="200"/>
        <w:jc w:val="left"/>
        <w:rPr>
          <w:rFonts w:eastAsia="仿宋_GB2312"/>
          <w:kern w:val="0"/>
          <w:sz w:val="32"/>
          <w:szCs w:val="32"/>
        </w:rPr>
      </w:pPr>
      <w:r>
        <w:rPr>
          <w:rFonts w:eastAsia="仿宋_GB2312"/>
          <w:sz w:val="32"/>
          <w:szCs w:val="32"/>
          <w:lang w:val="zh-CN"/>
        </w:rPr>
        <w:t>3．资金管理办法制定情况，资金支持具体项目的条件、范围与支持方式概况。</w:t>
      </w:r>
      <w:r>
        <w:rPr>
          <w:rFonts w:eastAsia="仿宋_GB2312"/>
          <w:kern w:val="0"/>
          <w:sz w:val="32"/>
          <w:szCs w:val="32"/>
        </w:rPr>
        <w:t>按照市经济和信息化局《内部管理制度》执行，财务管理制度健全，该项目资金主要为全市85家单位提供电子政务外网专用光纤的传输服务；租赁2个互联网固定IP地址为攀枝花市协同办公平台使用；预留1户新增。</w:t>
      </w:r>
    </w:p>
    <w:p w14:paraId="12CA4EE5">
      <w:pPr>
        <w:autoSpaceDE w:val="0"/>
        <w:autoSpaceDN w:val="0"/>
        <w:adjustRightInd w:val="0"/>
        <w:spacing w:line="600" w:lineRule="exact"/>
        <w:ind w:firstLine="640" w:firstLineChars="200"/>
        <w:jc w:val="left"/>
        <w:rPr>
          <w:rFonts w:eastAsia="仿宋_GB2312"/>
          <w:kern w:val="0"/>
          <w:sz w:val="32"/>
          <w:szCs w:val="32"/>
        </w:rPr>
      </w:pPr>
      <w:r>
        <w:rPr>
          <w:rFonts w:eastAsia="仿宋_GB2312"/>
          <w:sz w:val="32"/>
          <w:szCs w:val="32"/>
          <w:lang w:val="zh-CN"/>
        </w:rPr>
        <w:t>4．资金分配的原则及考虑因素。</w:t>
      </w:r>
      <w:r>
        <w:rPr>
          <w:rFonts w:eastAsia="仿宋_GB2312"/>
          <w:kern w:val="0"/>
          <w:sz w:val="32"/>
          <w:szCs w:val="32"/>
        </w:rPr>
        <w:t>根据合同约定支付方式及市经济和信息化局内部管理流程进行合同款项支付。</w:t>
      </w:r>
    </w:p>
    <w:p w14:paraId="395BA8A0">
      <w:pPr>
        <w:adjustRightInd w:val="0"/>
        <w:snapToGrid w:val="0"/>
        <w:spacing w:line="600" w:lineRule="exact"/>
        <w:ind w:firstLine="720"/>
        <w:rPr>
          <w:rFonts w:eastAsia="楷体_GB2312"/>
          <w:b/>
          <w:sz w:val="32"/>
          <w:szCs w:val="32"/>
          <w:lang w:val="zh-CN"/>
        </w:rPr>
      </w:pPr>
      <w:r>
        <w:rPr>
          <w:rFonts w:eastAsia="楷体_GB2312"/>
          <w:b/>
          <w:sz w:val="32"/>
          <w:szCs w:val="32"/>
          <w:lang w:val="zh-CN"/>
        </w:rPr>
        <w:t>（二）项目绩效目标。</w:t>
      </w:r>
    </w:p>
    <w:p w14:paraId="28A243BE">
      <w:pPr>
        <w:adjustRightInd w:val="0"/>
        <w:snapToGrid w:val="0"/>
        <w:spacing w:line="600" w:lineRule="exact"/>
        <w:ind w:firstLine="720"/>
        <w:rPr>
          <w:rFonts w:eastAsia="仿宋_GB2312"/>
          <w:sz w:val="32"/>
          <w:szCs w:val="32"/>
          <w:lang w:val="zh-CN"/>
        </w:rPr>
      </w:pPr>
      <w:r>
        <w:rPr>
          <w:rFonts w:eastAsia="仿宋_GB2312"/>
          <w:sz w:val="32"/>
          <w:szCs w:val="32"/>
          <w:lang w:val="zh-CN"/>
        </w:rPr>
        <w:t>1．项目主要内容。</w:t>
      </w:r>
      <w:r>
        <w:rPr>
          <w:rFonts w:eastAsia="仿宋_GB2312"/>
          <w:kern w:val="0"/>
          <w:sz w:val="32"/>
          <w:szCs w:val="32"/>
        </w:rPr>
        <w:t>完成电子政务外网全年正常安全运行的省级年度目标考核任务，保障全市各单位业务系统和日常办公的正常运行。运维公司提供2名驻场服务人员，定期对软硬件设备进行巡检，解决各级用户使用中的问题，制作发放数字证书，短信提醒服务正常发送。确保协同办公平台的正常稳定运行，为全市各级党政机关提供内部办公服务。</w:t>
      </w:r>
    </w:p>
    <w:p w14:paraId="7F5EC1CC">
      <w:pPr>
        <w:adjustRightInd w:val="0"/>
        <w:snapToGrid w:val="0"/>
        <w:spacing w:line="600" w:lineRule="exact"/>
        <w:ind w:firstLine="720"/>
        <w:rPr>
          <w:rFonts w:eastAsia="仿宋_GB2312"/>
          <w:sz w:val="32"/>
          <w:szCs w:val="32"/>
          <w:lang w:val="zh-CN"/>
        </w:rPr>
      </w:pPr>
      <w:r>
        <w:rPr>
          <w:rFonts w:eastAsia="仿宋_GB2312"/>
          <w:sz w:val="32"/>
          <w:szCs w:val="32"/>
          <w:lang w:val="zh-CN"/>
        </w:rPr>
        <w:t>2．项目应实现的具体绩效目标。</w:t>
      </w:r>
      <w:r>
        <w:rPr>
          <w:rFonts w:eastAsia="仿宋_GB2312"/>
          <w:kern w:val="0"/>
          <w:sz w:val="32"/>
          <w:szCs w:val="32"/>
        </w:rPr>
        <w:t>保障全市电子政务外网全年正常运行不中断，各依托电子政务外网建设的行业专网和业务系统正常运行，按月支付相关费用。协同办公平台运维公司有2名驻场服务人员，全年定期不定期对软硬件设备巡检8次；每日通过电话、QQ工作群等方式处理各类平台使用咨询问题60件次；全年制作、更新数字证书1100个；全年发送公文处理短信350万条。</w:t>
      </w:r>
    </w:p>
    <w:p w14:paraId="74F9231C">
      <w:pPr>
        <w:autoSpaceDE w:val="0"/>
        <w:autoSpaceDN w:val="0"/>
        <w:adjustRightInd w:val="0"/>
        <w:spacing w:line="600" w:lineRule="exact"/>
        <w:ind w:firstLine="640" w:firstLineChars="200"/>
        <w:jc w:val="left"/>
        <w:rPr>
          <w:rFonts w:eastAsia="仿宋_GB2312"/>
          <w:kern w:val="0"/>
          <w:sz w:val="32"/>
          <w:szCs w:val="32"/>
        </w:rPr>
      </w:pPr>
      <w:r>
        <w:rPr>
          <w:rFonts w:eastAsia="仿宋_GB2312"/>
          <w:sz w:val="32"/>
          <w:szCs w:val="32"/>
          <w:lang w:val="zh-CN"/>
        </w:rPr>
        <w:t>3．</w:t>
      </w:r>
      <w:r>
        <w:rPr>
          <w:rFonts w:eastAsia="仿宋_GB2312"/>
          <w:kern w:val="0"/>
          <w:sz w:val="32"/>
          <w:szCs w:val="32"/>
        </w:rPr>
        <w:t>申报内容是否与实际相符。2021年电子政务外网租赁项目和协同办公平台运营维护项目申报目标与实际相符，申报目标合理可行。</w:t>
      </w:r>
    </w:p>
    <w:p w14:paraId="7C7D43F4">
      <w:pPr>
        <w:adjustRightInd w:val="0"/>
        <w:snapToGrid w:val="0"/>
        <w:spacing w:line="600" w:lineRule="exact"/>
        <w:ind w:firstLine="720"/>
        <w:rPr>
          <w:rFonts w:eastAsia="楷体_GB2312"/>
          <w:b/>
          <w:sz w:val="32"/>
          <w:szCs w:val="32"/>
          <w:lang w:val="zh-CN"/>
        </w:rPr>
      </w:pPr>
      <w:r>
        <w:rPr>
          <w:rFonts w:eastAsia="楷体_GB2312"/>
          <w:b/>
          <w:sz w:val="32"/>
          <w:szCs w:val="32"/>
          <w:lang w:val="zh-CN"/>
        </w:rPr>
        <w:t>（三）项目自评步骤及方法。</w:t>
      </w:r>
    </w:p>
    <w:p w14:paraId="15459772">
      <w:pPr>
        <w:adjustRightInd w:val="0"/>
        <w:snapToGrid w:val="0"/>
        <w:spacing w:line="600" w:lineRule="exact"/>
        <w:ind w:firstLine="800" w:firstLineChars="250"/>
        <w:rPr>
          <w:rFonts w:eastAsia="仿宋_GB2312"/>
          <w:sz w:val="32"/>
          <w:szCs w:val="32"/>
          <w:lang w:val="zh-CN"/>
        </w:rPr>
      </w:pPr>
      <w:r>
        <w:rPr>
          <w:rFonts w:eastAsia="仿宋_GB2312"/>
          <w:sz w:val="32"/>
          <w:szCs w:val="32"/>
          <w:lang w:val="zh-CN"/>
        </w:rPr>
        <w:t>该项目通过对项目的调研、咨询、规划、组织、执行进度等相关工作以及对资金的使用情况开展自评。</w:t>
      </w:r>
    </w:p>
    <w:p w14:paraId="4F1E710D">
      <w:pPr>
        <w:adjustRightInd w:val="0"/>
        <w:snapToGrid w:val="0"/>
        <w:spacing w:line="600" w:lineRule="exact"/>
        <w:ind w:firstLine="720"/>
        <w:rPr>
          <w:rFonts w:eastAsia="黑体"/>
          <w:sz w:val="32"/>
          <w:szCs w:val="32"/>
        </w:rPr>
      </w:pPr>
      <w:r>
        <w:rPr>
          <w:rFonts w:eastAsia="黑体"/>
          <w:sz w:val="32"/>
          <w:szCs w:val="32"/>
        </w:rPr>
        <w:t>二、项目资金申报及使用情况</w:t>
      </w:r>
    </w:p>
    <w:p w14:paraId="19DD70AC">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（一）项目资金申报及批复情况。</w:t>
      </w:r>
    </w:p>
    <w:p w14:paraId="2B668F00">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电子政务外网租赁项目严格按照资金申报程序进行了申报，市财政局对经费进行了核算批复。协同办公平台自2014年建成投入使用后，年度运行维护费及短信服务费就纳入年度常规预算，申报前请市财政局经办科室进行核算。</w:t>
      </w:r>
    </w:p>
    <w:p w14:paraId="3A0BDF1B">
      <w:pPr>
        <w:adjustRightInd w:val="0"/>
        <w:snapToGrid w:val="0"/>
        <w:spacing w:line="600" w:lineRule="exact"/>
        <w:ind w:firstLine="720"/>
        <w:rPr>
          <w:rFonts w:eastAsia="仿宋_GB2312"/>
          <w:sz w:val="32"/>
          <w:szCs w:val="32"/>
          <w:lang w:val="zh-CN"/>
        </w:rPr>
      </w:pPr>
      <w:r>
        <w:rPr>
          <w:rFonts w:eastAsia="楷体_GB2312"/>
          <w:b/>
          <w:sz w:val="32"/>
          <w:szCs w:val="32"/>
          <w:lang w:val="zh-CN"/>
        </w:rPr>
        <w:t>（二）资金计划、到位及使用情况。</w:t>
      </w:r>
    </w:p>
    <w:p w14:paraId="6382F4B7">
      <w:pPr>
        <w:adjustRightInd w:val="0"/>
        <w:snapToGrid w:val="0"/>
        <w:spacing w:line="600" w:lineRule="exact"/>
        <w:ind w:firstLine="720"/>
        <w:rPr>
          <w:rFonts w:eastAsia="仿宋_GB2312"/>
          <w:sz w:val="32"/>
          <w:szCs w:val="32"/>
          <w:lang w:val="zh-CN"/>
        </w:rPr>
      </w:pPr>
      <w:r>
        <w:rPr>
          <w:rFonts w:eastAsia="楷体_GB2312"/>
          <w:sz w:val="32"/>
          <w:szCs w:val="32"/>
          <w:lang w:val="zh-CN"/>
        </w:rPr>
        <w:t>1．资金计划。</w:t>
      </w:r>
      <w:r>
        <w:rPr>
          <w:rFonts w:eastAsia="仿宋_GB2312"/>
          <w:kern w:val="0"/>
          <w:sz w:val="32"/>
          <w:szCs w:val="32"/>
        </w:rPr>
        <w:t>电子政务外网租赁项目资金来源渠道为市财政预算经费。协同办公平台运行维护项目资金来源为财政预算资金，市级财政承担40%经费，县（区）和钒钛产业园区承担60%经费。</w:t>
      </w:r>
    </w:p>
    <w:p w14:paraId="62E2E221">
      <w:pPr>
        <w:autoSpaceDE w:val="0"/>
        <w:autoSpaceDN w:val="0"/>
        <w:adjustRightInd w:val="0"/>
        <w:spacing w:line="600" w:lineRule="exact"/>
        <w:ind w:firstLine="640" w:firstLineChars="200"/>
        <w:jc w:val="left"/>
        <w:rPr>
          <w:rFonts w:eastAsia="仿宋_GB2312"/>
          <w:kern w:val="0"/>
          <w:sz w:val="32"/>
          <w:szCs w:val="32"/>
        </w:rPr>
      </w:pPr>
      <w:r>
        <w:rPr>
          <w:rFonts w:eastAsia="楷体_GB2312"/>
          <w:sz w:val="32"/>
          <w:szCs w:val="32"/>
          <w:lang w:val="zh-CN"/>
        </w:rPr>
        <w:t>2．资金到位。</w:t>
      </w:r>
      <w:r>
        <w:rPr>
          <w:rFonts w:eastAsia="仿宋_GB2312"/>
          <w:kern w:val="0"/>
          <w:sz w:val="32"/>
          <w:szCs w:val="32"/>
        </w:rPr>
        <w:t>2021年电子政务外网网络租赁费共53.65万元，协同办公平台运行维护项目资金30.9万元。</w:t>
      </w:r>
    </w:p>
    <w:p w14:paraId="02E12E25">
      <w:pPr>
        <w:autoSpaceDE w:val="0"/>
        <w:autoSpaceDN w:val="0"/>
        <w:adjustRightInd w:val="0"/>
        <w:spacing w:line="600" w:lineRule="exact"/>
        <w:ind w:firstLine="640" w:firstLineChars="200"/>
        <w:jc w:val="left"/>
        <w:rPr>
          <w:rFonts w:eastAsia="仿宋_GB2312"/>
          <w:kern w:val="0"/>
          <w:sz w:val="32"/>
          <w:szCs w:val="32"/>
        </w:rPr>
      </w:pPr>
      <w:r>
        <w:rPr>
          <w:rFonts w:eastAsia="楷体_GB2312"/>
          <w:sz w:val="32"/>
          <w:szCs w:val="32"/>
          <w:lang w:val="zh-CN"/>
        </w:rPr>
        <w:t>3．资金使用。</w:t>
      </w:r>
      <w:r>
        <w:rPr>
          <w:rFonts w:eastAsia="仿宋_GB2312"/>
          <w:kern w:val="0"/>
          <w:sz w:val="32"/>
          <w:szCs w:val="32"/>
        </w:rPr>
        <w:t>2021年全年向电信公司支付电子政务外网</w:t>
      </w:r>
      <w:r>
        <w:rPr>
          <w:rFonts w:eastAsia="仿宋_GB2312"/>
          <w:sz w:val="32"/>
          <w:szCs w:val="32"/>
        </w:rPr>
        <w:t>网络租赁费</w:t>
      </w:r>
      <w:r>
        <w:rPr>
          <w:rFonts w:eastAsia="仿宋_GB2312"/>
          <w:kern w:val="0"/>
          <w:sz w:val="32"/>
          <w:szCs w:val="32"/>
        </w:rPr>
        <w:t>53.65万元</w:t>
      </w:r>
      <w:r>
        <w:rPr>
          <w:rFonts w:eastAsia="仿宋_GB2312"/>
          <w:sz w:val="32"/>
          <w:szCs w:val="32"/>
        </w:rPr>
        <w:t>。2021年</w:t>
      </w:r>
      <w:r>
        <w:rPr>
          <w:rFonts w:eastAsia="仿宋_GB2312"/>
          <w:kern w:val="0"/>
          <w:sz w:val="32"/>
          <w:szCs w:val="32"/>
        </w:rPr>
        <w:t>协同办公平台运行维护费支出30.9万元，其中：协同办公平台托管电费支付19.92万元，年度运维费3.42万元，向联通、移动、电信三家运营商支付短信服务费7.56万元。市电子政务外网网络租赁费和协同办公平台运行维护费支出严格按照经费支出范围、支出标准、支出相关要求进行支付，支出合法合规，与预算相符。</w:t>
      </w:r>
    </w:p>
    <w:p w14:paraId="1401075B">
      <w:pPr>
        <w:adjustRightInd w:val="0"/>
        <w:snapToGrid w:val="0"/>
        <w:spacing w:line="600" w:lineRule="exact"/>
        <w:ind w:firstLine="720"/>
        <w:rPr>
          <w:rFonts w:eastAsia="楷体_GB2312"/>
          <w:b/>
          <w:sz w:val="32"/>
          <w:szCs w:val="32"/>
          <w:lang w:val="zh-CN"/>
        </w:rPr>
      </w:pPr>
      <w:r>
        <w:rPr>
          <w:rFonts w:eastAsia="楷体_GB2312"/>
          <w:b/>
          <w:sz w:val="32"/>
          <w:szCs w:val="32"/>
          <w:lang w:val="zh-CN"/>
        </w:rPr>
        <w:t>（三）项目财务管理情况。</w:t>
      </w:r>
    </w:p>
    <w:p w14:paraId="78F6098A">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该项目财务管理相对比较规范，财务管理制度健全，严格执行财务管理制度，账务处理及时，会计核算规范。</w:t>
      </w:r>
    </w:p>
    <w:p w14:paraId="0A8B7618">
      <w:pPr>
        <w:adjustRightInd w:val="0"/>
        <w:snapToGrid w:val="0"/>
        <w:spacing w:line="600" w:lineRule="exact"/>
        <w:ind w:firstLine="720"/>
        <w:rPr>
          <w:rFonts w:eastAsia="黑体"/>
          <w:sz w:val="32"/>
          <w:szCs w:val="32"/>
        </w:rPr>
      </w:pPr>
      <w:r>
        <w:rPr>
          <w:rFonts w:eastAsia="黑体"/>
          <w:sz w:val="32"/>
          <w:szCs w:val="32"/>
        </w:rPr>
        <w:t>三、项目实施及管理情况</w:t>
      </w:r>
    </w:p>
    <w:p w14:paraId="199668C4">
      <w:pPr>
        <w:autoSpaceDE w:val="0"/>
        <w:autoSpaceDN w:val="0"/>
        <w:adjustRightInd w:val="0"/>
        <w:spacing w:line="600" w:lineRule="exact"/>
        <w:ind w:firstLine="643" w:firstLineChars="200"/>
        <w:jc w:val="left"/>
        <w:rPr>
          <w:rFonts w:eastAsia="仿宋_GB2312"/>
          <w:kern w:val="0"/>
          <w:sz w:val="32"/>
          <w:szCs w:val="32"/>
        </w:rPr>
      </w:pPr>
      <w:r>
        <w:rPr>
          <w:rFonts w:eastAsia="楷体_GB2312"/>
          <w:b/>
          <w:sz w:val="32"/>
          <w:szCs w:val="32"/>
          <w:lang w:val="zh-CN"/>
        </w:rPr>
        <w:t>（一）项目组织架构及实施流程。</w:t>
      </w:r>
      <w:r>
        <w:rPr>
          <w:rFonts w:eastAsia="仿宋_GB2312"/>
          <w:kern w:val="0"/>
          <w:sz w:val="32"/>
          <w:szCs w:val="32"/>
        </w:rPr>
        <w:t>由具体业务科室负责协同办公平台运维管理，保证协同办公平台的正常稳定运行。</w:t>
      </w:r>
    </w:p>
    <w:p w14:paraId="7492BEF5">
      <w:pPr>
        <w:autoSpaceDE w:val="0"/>
        <w:autoSpaceDN w:val="0"/>
        <w:adjustRightInd w:val="0"/>
        <w:spacing w:line="600" w:lineRule="exact"/>
        <w:ind w:firstLine="643" w:firstLineChars="200"/>
        <w:jc w:val="left"/>
        <w:rPr>
          <w:rFonts w:eastAsia="仿宋_GB2312"/>
          <w:kern w:val="0"/>
          <w:sz w:val="32"/>
          <w:szCs w:val="32"/>
        </w:rPr>
      </w:pPr>
      <w:r>
        <w:rPr>
          <w:rFonts w:eastAsia="楷体_GB2312"/>
          <w:b/>
          <w:sz w:val="32"/>
          <w:szCs w:val="32"/>
          <w:lang w:val="zh-CN"/>
        </w:rPr>
        <w:t>（二）项目管理情况。</w:t>
      </w:r>
      <w:r>
        <w:rPr>
          <w:rFonts w:eastAsia="仿宋_GB2312"/>
          <w:kern w:val="0"/>
          <w:sz w:val="32"/>
          <w:szCs w:val="32"/>
        </w:rPr>
        <w:t>严格按照项目管理规定，并征求市财政局政府采购监督管理科意见建议，分别与运维公司川大智胜和短信服务提供商（移动公司、电信公司、联通公司）签订服务合同。</w:t>
      </w:r>
    </w:p>
    <w:p w14:paraId="0D9BC4C8">
      <w:pPr>
        <w:autoSpaceDE w:val="0"/>
        <w:autoSpaceDN w:val="0"/>
        <w:adjustRightInd w:val="0"/>
        <w:spacing w:line="600" w:lineRule="exact"/>
        <w:ind w:firstLine="643" w:firstLineChars="200"/>
        <w:jc w:val="left"/>
        <w:rPr>
          <w:rFonts w:eastAsia="仿宋_GB2312"/>
          <w:kern w:val="0"/>
          <w:sz w:val="32"/>
          <w:szCs w:val="32"/>
        </w:rPr>
      </w:pPr>
      <w:r>
        <w:rPr>
          <w:rFonts w:eastAsia="楷体_GB2312"/>
          <w:b/>
          <w:sz w:val="32"/>
          <w:szCs w:val="32"/>
          <w:lang w:val="zh-CN"/>
        </w:rPr>
        <w:t>（三）项目监管情况。</w:t>
      </w:r>
      <w:r>
        <w:rPr>
          <w:rFonts w:eastAsia="仿宋_GB2312"/>
          <w:kern w:val="0"/>
          <w:sz w:val="32"/>
          <w:szCs w:val="32"/>
        </w:rPr>
        <w:t>严格执行项目监管要求，在项目审批实施过程中积极邀请驻局纪检监察组指导开展工作，严格按照监管程序和要求组织开展相关工作。</w:t>
      </w:r>
    </w:p>
    <w:p w14:paraId="59557B3D">
      <w:pPr>
        <w:adjustRightInd w:val="0"/>
        <w:snapToGrid w:val="0"/>
        <w:spacing w:line="600" w:lineRule="exact"/>
        <w:ind w:firstLine="720"/>
        <w:rPr>
          <w:rFonts w:eastAsia="仿宋_GB2312"/>
          <w:sz w:val="32"/>
          <w:szCs w:val="32"/>
          <w:lang w:val="zh-CN"/>
        </w:rPr>
      </w:pPr>
      <w:r>
        <w:rPr>
          <w:rFonts w:eastAsia="黑体"/>
          <w:sz w:val="32"/>
          <w:szCs w:val="32"/>
        </w:rPr>
        <w:t>四、项目绩效情况</w:t>
      </w:r>
      <w:r>
        <w:rPr>
          <w:rFonts w:eastAsia="仿宋_GB2312"/>
          <w:sz w:val="32"/>
          <w:szCs w:val="32"/>
          <w:lang w:val="zh-CN"/>
        </w:rPr>
        <w:tab/>
      </w:r>
    </w:p>
    <w:p w14:paraId="3B0A4FF3">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（一）项目完成情况。</w:t>
      </w:r>
      <w:r>
        <w:rPr>
          <w:rFonts w:eastAsia="仿宋_GB2312"/>
          <w:sz w:val="32"/>
          <w:szCs w:val="32"/>
        </w:rPr>
        <w:t>市政务外网已实现5个县（区）、49个乡镇（街办）全覆盖，乡镇覆盖率100%；接入92个村组（社区），村组覆盖率26%，政务外网接入单位用户数约700个。</w:t>
      </w:r>
      <w:r>
        <w:rPr>
          <w:rFonts w:eastAsia="仿宋_GB2312"/>
          <w:kern w:val="0"/>
          <w:sz w:val="32"/>
          <w:szCs w:val="32"/>
        </w:rPr>
        <w:t>2021年度，运维公司提供2名驻场服务人员，全年定期不定期对软硬件设备巡检5次；每日通过电话、QQ工作群等方式处理各类平台使用咨询问题60件次；全年发送公文处理短信超300万条。</w:t>
      </w:r>
    </w:p>
    <w:p w14:paraId="50ADA7DD">
      <w:pPr>
        <w:autoSpaceDE w:val="0"/>
        <w:autoSpaceDN w:val="0"/>
        <w:adjustRightInd w:val="0"/>
        <w:spacing w:line="600" w:lineRule="exact"/>
        <w:ind w:firstLine="643" w:firstLineChars="200"/>
        <w:jc w:val="left"/>
        <w:rPr>
          <w:rFonts w:eastAsia="仿宋_GB2312"/>
          <w:kern w:val="0"/>
          <w:sz w:val="32"/>
          <w:szCs w:val="32"/>
        </w:rPr>
      </w:pPr>
      <w:r>
        <w:rPr>
          <w:rFonts w:eastAsia="楷体_GB2312"/>
          <w:b/>
          <w:sz w:val="32"/>
          <w:szCs w:val="32"/>
          <w:lang w:val="zh-CN"/>
        </w:rPr>
        <w:t>（二）项目效益情况。</w:t>
      </w:r>
      <w:r>
        <w:rPr>
          <w:rFonts w:eastAsia="仿宋_GB2312"/>
          <w:kern w:val="0"/>
          <w:sz w:val="32"/>
          <w:szCs w:val="32"/>
        </w:rPr>
        <w:t>2020年度，全年电子政务外网稳定运行，完成省上考核任务，各依托电子政务外网建设的行业专网和业务系统正常运行，按月支付相关费用。协同办公平台正常稳定运行，提升全市各级党政机关和企事业单位办公效率社会效益良好，节约办公成本经济效益较高，数字化办公杜绝纸张浪费生态效益较好，通过全市用户使用情况来看</w:t>
      </w:r>
      <w:r>
        <w:rPr>
          <w:rFonts w:eastAsia="仿宋_GB2312"/>
          <w:sz w:val="32"/>
          <w:szCs w:val="32"/>
          <w:lang w:val="zh-CN"/>
        </w:rPr>
        <w:t>服务对象满意度较高</w:t>
      </w:r>
      <w:r>
        <w:rPr>
          <w:rFonts w:eastAsia="仿宋_GB2312"/>
          <w:kern w:val="0"/>
          <w:sz w:val="32"/>
          <w:szCs w:val="32"/>
        </w:rPr>
        <w:t>。</w:t>
      </w:r>
    </w:p>
    <w:p w14:paraId="488173E9">
      <w:pPr>
        <w:adjustRightInd w:val="0"/>
        <w:snapToGrid w:val="0"/>
        <w:spacing w:line="600" w:lineRule="exact"/>
        <w:ind w:firstLine="720"/>
        <w:rPr>
          <w:rFonts w:eastAsia="黑体"/>
          <w:sz w:val="32"/>
          <w:szCs w:val="32"/>
        </w:rPr>
      </w:pPr>
      <w:r>
        <w:rPr>
          <w:rFonts w:eastAsia="黑体"/>
          <w:sz w:val="32"/>
          <w:szCs w:val="32"/>
        </w:rPr>
        <w:t>五、评价结论及建议</w:t>
      </w:r>
    </w:p>
    <w:p w14:paraId="20FA92DE">
      <w:pPr>
        <w:adjustRightInd w:val="0"/>
        <w:snapToGrid w:val="0"/>
        <w:spacing w:line="600" w:lineRule="exact"/>
        <w:ind w:firstLine="720"/>
        <w:rPr>
          <w:rFonts w:eastAsia="楷体_GB2312"/>
          <w:b/>
          <w:sz w:val="32"/>
          <w:szCs w:val="32"/>
          <w:lang w:val="zh-CN"/>
        </w:rPr>
      </w:pPr>
      <w:r>
        <w:rPr>
          <w:rFonts w:eastAsia="楷体_GB2312"/>
          <w:b/>
          <w:sz w:val="32"/>
          <w:szCs w:val="32"/>
          <w:lang w:val="zh-CN"/>
        </w:rPr>
        <w:t>（一）评价结论。</w:t>
      </w:r>
    </w:p>
    <w:p w14:paraId="2BE57CE9">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本项目的实施，确保了我市协同办公平台的正常稳定运行，解决了各级用户在使用中的各类问题，提高了全市各级党政机关和企事业单位办公效率，节约办公成本。完成年度目标工作任务，项目决策、项目管理、项目绩效合法合规合理。</w:t>
      </w:r>
    </w:p>
    <w:p w14:paraId="4210BA61">
      <w:pPr>
        <w:adjustRightInd w:val="0"/>
        <w:snapToGrid w:val="0"/>
        <w:spacing w:line="600" w:lineRule="exact"/>
        <w:ind w:firstLine="720"/>
        <w:rPr>
          <w:rFonts w:eastAsia="楷体_GB2312"/>
          <w:b/>
          <w:sz w:val="32"/>
          <w:szCs w:val="32"/>
          <w:lang w:val="zh-CN"/>
        </w:rPr>
      </w:pPr>
      <w:r>
        <w:rPr>
          <w:rFonts w:eastAsia="楷体_GB2312"/>
          <w:b/>
          <w:sz w:val="32"/>
          <w:szCs w:val="32"/>
          <w:lang w:val="zh-CN"/>
        </w:rPr>
        <w:t>（二）存在的问题。</w:t>
      </w:r>
    </w:p>
    <w:p w14:paraId="1BBD3B8E">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短信服务费是以上年度短信发送量为基础进行测算，且短信数量呈现逐年递增的情况，每年申报的短信服务费略有增加。</w:t>
      </w:r>
    </w:p>
    <w:p w14:paraId="0E4F402D">
      <w:pPr>
        <w:adjustRightInd w:val="0"/>
        <w:snapToGrid w:val="0"/>
        <w:spacing w:line="600" w:lineRule="exact"/>
        <w:ind w:firstLine="720"/>
        <w:rPr>
          <w:rFonts w:eastAsia="楷体_GB2312"/>
          <w:b/>
          <w:sz w:val="32"/>
          <w:szCs w:val="32"/>
          <w:lang w:val="zh-CN"/>
        </w:rPr>
      </w:pPr>
      <w:r>
        <w:rPr>
          <w:rFonts w:eastAsia="楷体_GB2312"/>
          <w:b/>
          <w:sz w:val="32"/>
          <w:szCs w:val="32"/>
          <w:lang w:val="zh-CN"/>
        </w:rPr>
        <w:t>（三）相关建议。</w:t>
      </w:r>
    </w:p>
    <w:p w14:paraId="2321D39A">
      <w:pPr>
        <w:spacing w:line="580" w:lineRule="exact"/>
        <w:ind w:firstLine="672" w:firstLineChars="210"/>
        <w:jc w:val="left"/>
        <w:rPr>
          <w:rFonts w:eastAsia="仿宋"/>
          <w:sz w:val="32"/>
          <w:szCs w:val="32"/>
        </w:rPr>
      </w:pPr>
      <w:r>
        <w:rPr>
          <w:rFonts w:eastAsia="仿宋"/>
          <w:sz w:val="32"/>
          <w:szCs w:val="32"/>
        </w:rPr>
        <w:t>建议财政部门</w:t>
      </w:r>
      <w:r>
        <w:rPr>
          <w:rFonts w:eastAsia="仿宋_GB2312"/>
          <w:sz w:val="32"/>
          <w:szCs w:val="32"/>
        </w:rPr>
        <w:t>继续加强经费保障和</w:t>
      </w:r>
      <w:r>
        <w:rPr>
          <w:rFonts w:eastAsia="仿宋"/>
          <w:sz w:val="32"/>
          <w:szCs w:val="32"/>
        </w:rPr>
        <w:t>资金拨付力度，确保项目目标绩效更高质量完成。</w:t>
      </w:r>
    </w:p>
    <w:p w14:paraId="10269E82">
      <w:pPr>
        <w:pStyle w:val="2"/>
        <w:spacing w:before="93"/>
        <w:rPr>
          <w:rFonts w:ascii="Times New Roman"/>
          <w:lang w:val="zh-CN"/>
        </w:rPr>
      </w:pPr>
    </w:p>
    <w:p w14:paraId="441E14AA">
      <w:pPr>
        <w:pStyle w:val="2"/>
        <w:spacing w:before="93"/>
        <w:rPr>
          <w:rFonts w:ascii="Times New Roman"/>
          <w:lang w:val="zh-CN"/>
        </w:rPr>
      </w:pPr>
    </w:p>
    <w:p w14:paraId="58902731">
      <w:pPr>
        <w:pStyle w:val="2"/>
        <w:spacing w:before="93"/>
        <w:rPr>
          <w:rFonts w:ascii="Times New Roman"/>
          <w:lang w:val="zh-CN"/>
        </w:rPr>
      </w:pPr>
    </w:p>
    <w:p w14:paraId="6FC34CE1">
      <w:pPr>
        <w:pStyle w:val="2"/>
        <w:spacing w:before="93"/>
        <w:rPr>
          <w:rFonts w:ascii="Times New Roman"/>
          <w:lang w:val="zh-CN"/>
        </w:rPr>
      </w:pPr>
    </w:p>
    <w:p w14:paraId="37D5D3FD">
      <w:pPr>
        <w:widowControl/>
        <w:adjustRightInd w:val="0"/>
        <w:snapToGrid w:val="0"/>
        <w:spacing w:line="580" w:lineRule="exact"/>
        <w:ind w:firstLine="640" w:firstLineChars="200"/>
        <w:contextualSpacing/>
        <w:jc w:val="left"/>
        <w:rPr>
          <w:rFonts w:hint="eastAsia" w:eastAsia="仿宋_GB2312"/>
          <w:kern w:val="0"/>
          <w:sz w:val="32"/>
          <w:szCs w:val="32"/>
          <w:shd w:val="clear" w:color="auto" w:fill="FFFFFF"/>
          <w:lang w:val="zh-CN"/>
        </w:rPr>
      </w:pPr>
    </w:p>
    <w:p w14:paraId="1C067408">
      <w:pPr>
        <w:pStyle w:val="7"/>
        <w:spacing w:before="93" w:line="600" w:lineRule="exact"/>
        <w:ind w:firstLine="640" w:firstLineChars="200"/>
        <w:jc w:val="left"/>
        <w:rPr>
          <w:rFonts w:hint="eastAsia" w:ascii="仿宋_GB2312" w:hAnsi="黑体" w:eastAsia="仿宋_GB2312" w:cs="黑体"/>
          <w:sz w:val="32"/>
          <w:szCs w:val="32"/>
        </w:rPr>
      </w:pPr>
    </w:p>
    <w:p w14:paraId="50846CC4">
      <w:pPr>
        <w:pStyle w:val="7"/>
        <w:spacing w:before="93" w:line="600" w:lineRule="exact"/>
        <w:ind w:firstLine="720"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攀枝花市经济和信息化局</w:t>
      </w:r>
    </w:p>
    <w:p w14:paraId="171882F9">
      <w:pPr>
        <w:pStyle w:val="7"/>
        <w:spacing w:before="93" w:line="600" w:lineRule="exact"/>
        <w:ind w:firstLine="720"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202</w:t>
      </w:r>
      <w:r>
        <w:rPr>
          <w:rFonts w:ascii="方正小标宋_GBK" w:hAnsi="黑体" w:eastAsia="方正小标宋_GBK" w:cs="黑体"/>
          <w:sz w:val="36"/>
          <w:szCs w:val="36"/>
        </w:rPr>
        <w:t>1</w:t>
      </w:r>
      <w:r>
        <w:rPr>
          <w:rFonts w:hint="eastAsia" w:ascii="方正小标宋_GBK" w:hAnsi="黑体" w:eastAsia="方正小标宋_GBK" w:cs="黑体"/>
          <w:sz w:val="36"/>
          <w:szCs w:val="36"/>
        </w:rPr>
        <w:t>年度部门预算项目支出绩效自评报告</w:t>
      </w:r>
    </w:p>
    <w:p w14:paraId="13631A2F">
      <w:pPr>
        <w:pStyle w:val="7"/>
        <w:spacing w:before="93" w:line="600" w:lineRule="exact"/>
        <w:ind w:firstLine="720"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（争取资金专项工作经费）</w:t>
      </w:r>
    </w:p>
    <w:p w14:paraId="0B534F90">
      <w:pPr>
        <w:pStyle w:val="7"/>
        <w:spacing w:before="93" w:line="600" w:lineRule="exact"/>
        <w:ind w:firstLine="5600" w:firstLineChars="1750"/>
        <w:jc w:val="left"/>
        <w:rPr>
          <w:rFonts w:ascii="仿宋_GB2312" w:hAnsi="仿宋_GB2312" w:eastAsia="仿宋_GB2312" w:cs="仿宋_GB2312"/>
          <w:sz w:val="32"/>
          <w:szCs w:val="32"/>
        </w:rPr>
      </w:pPr>
    </w:p>
    <w:p w14:paraId="4DD326B9">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一、项目概况</w:t>
      </w:r>
    </w:p>
    <w:p w14:paraId="6B6D929C">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（一）项目基本情况。</w:t>
      </w:r>
    </w:p>
    <w:p w14:paraId="4F260357">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w:t>
      </w:r>
      <w:r>
        <w:rPr>
          <w:rFonts w:hint="eastAsia" w:eastAsia="仿宋_GB2312"/>
          <w:kern w:val="0"/>
          <w:sz w:val="32"/>
          <w:szCs w:val="32"/>
        </w:rPr>
        <w:t>项目</w:t>
      </w:r>
      <w:r>
        <w:rPr>
          <w:rFonts w:eastAsia="仿宋_GB2312"/>
          <w:kern w:val="0"/>
          <w:sz w:val="32"/>
          <w:szCs w:val="32"/>
        </w:rPr>
        <w:t>主管部门职能</w:t>
      </w:r>
      <w:r>
        <w:rPr>
          <w:rFonts w:hint="eastAsia" w:eastAsia="仿宋_GB2312"/>
          <w:kern w:val="0"/>
          <w:sz w:val="32"/>
          <w:szCs w:val="32"/>
        </w:rPr>
        <w:t>职责</w:t>
      </w:r>
      <w:r>
        <w:rPr>
          <w:rFonts w:eastAsia="仿宋_GB2312"/>
          <w:kern w:val="0"/>
          <w:sz w:val="32"/>
          <w:szCs w:val="32"/>
        </w:rPr>
        <w:t>。</w:t>
      </w:r>
      <w:r>
        <w:rPr>
          <w:rFonts w:hint="eastAsia" w:eastAsia="仿宋_GB2312"/>
          <w:kern w:val="0"/>
          <w:sz w:val="32"/>
          <w:szCs w:val="32"/>
        </w:rPr>
        <w:t>一是要认真解读政策，</w:t>
      </w:r>
      <w:r>
        <w:rPr>
          <w:rFonts w:eastAsia="仿宋_GB2312"/>
          <w:kern w:val="0"/>
          <w:sz w:val="32"/>
          <w:szCs w:val="32"/>
        </w:rPr>
        <w:t>科学</w:t>
      </w:r>
      <w:r>
        <w:rPr>
          <w:rFonts w:hint="eastAsia" w:eastAsia="仿宋_GB2312"/>
          <w:kern w:val="0"/>
          <w:sz w:val="32"/>
          <w:szCs w:val="32"/>
        </w:rPr>
        <w:t>把</w:t>
      </w:r>
      <w:r>
        <w:rPr>
          <w:rFonts w:eastAsia="仿宋_GB2312"/>
          <w:kern w:val="0"/>
          <w:sz w:val="32"/>
          <w:szCs w:val="32"/>
        </w:rPr>
        <w:t>握向上争取专项资金的工作方式和方法。</w:t>
      </w:r>
      <w:r>
        <w:rPr>
          <w:rFonts w:hint="eastAsia" w:eastAsia="仿宋_GB2312"/>
          <w:kern w:val="0"/>
          <w:sz w:val="32"/>
          <w:szCs w:val="32"/>
        </w:rPr>
        <w:t>二是抓住重点、把握政策、用足政策，</w:t>
      </w:r>
      <w:r>
        <w:rPr>
          <w:rFonts w:eastAsia="仿宋_GB2312"/>
          <w:kern w:val="0"/>
          <w:sz w:val="32"/>
          <w:szCs w:val="32"/>
        </w:rPr>
        <w:t>了解国家及省重点扶持的行业和领域，掌握资金投向，了解资金划拨部门运行方式。根据专项资金投向，编制好我们的申报项目。</w:t>
      </w:r>
      <w:r>
        <w:rPr>
          <w:rFonts w:hint="eastAsia" w:eastAsia="仿宋_GB2312"/>
          <w:kern w:val="0"/>
          <w:sz w:val="32"/>
          <w:szCs w:val="32"/>
        </w:rPr>
        <w:t>三是加强与上级有关部门的联系与沟通，勤走动、勤汇报，取得上级领导的关注与重视。</w:t>
      </w:r>
    </w:p>
    <w:p w14:paraId="7A6FE954">
      <w:pPr>
        <w:autoSpaceDE w:val="0"/>
        <w:autoSpaceDN w:val="0"/>
        <w:adjustRightInd w:val="0"/>
        <w:spacing w:line="600" w:lineRule="exact"/>
        <w:ind w:firstLine="640" w:firstLineChars="200"/>
        <w:jc w:val="left"/>
        <w:rPr>
          <w:rFonts w:hint="eastAsia" w:eastAsia="仿宋_GB2312"/>
          <w:kern w:val="0"/>
          <w:sz w:val="32"/>
          <w:szCs w:val="32"/>
        </w:rPr>
      </w:pPr>
      <w:r>
        <w:rPr>
          <w:rFonts w:eastAsia="仿宋_GB2312"/>
          <w:kern w:val="0"/>
          <w:sz w:val="32"/>
          <w:szCs w:val="32"/>
        </w:rPr>
        <w:t>2．项目立项、资金申报的依据。</w:t>
      </w:r>
    </w:p>
    <w:p w14:paraId="7EE2753B">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根据攀财资预（2021）44号文件批复使用资金。</w:t>
      </w:r>
    </w:p>
    <w:p w14:paraId="663463C3">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3．财务管理制度健全，严格执行财务管理制度，账务处理及时，会计核算规范。</w:t>
      </w:r>
      <w:r>
        <w:rPr>
          <w:rFonts w:hint="eastAsia" w:eastAsia="仿宋_GB2312"/>
          <w:kern w:val="0"/>
          <w:sz w:val="32"/>
          <w:szCs w:val="32"/>
        </w:rPr>
        <w:t>该项目资金主要用于调动争取资金的积极性，促进全市经济社会又好又快发展，经费用于争取资金日常工作报销。</w:t>
      </w:r>
    </w:p>
    <w:p w14:paraId="4825E783">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4．资金分配的原则及考虑因素。</w:t>
      </w:r>
      <w:r>
        <w:rPr>
          <w:rFonts w:hint="eastAsia" w:eastAsia="仿宋_GB2312"/>
          <w:kern w:val="0"/>
          <w:sz w:val="32"/>
          <w:szCs w:val="32"/>
        </w:rPr>
        <w:t>争取资金专项工作经费</w:t>
      </w:r>
      <w:r>
        <w:rPr>
          <w:rFonts w:eastAsia="仿宋_GB2312"/>
          <w:kern w:val="0"/>
          <w:sz w:val="32"/>
          <w:szCs w:val="32"/>
        </w:rPr>
        <w:t>分配坚持“公平、效率、控制力”的原则，根据项目重要性、紧急程度、需求情况等因素进行分配，同时不改变主管部门对财政专项资金的分配权、管理权。</w:t>
      </w:r>
    </w:p>
    <w:p w14:paraId="12C47673">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（二）项目绩效目标。</w:t>
      </w:r>
    </w:p>
    <w:p w14:paraId="28B6B631">
      <w:pPr>
        <w:autoSpaceDE w:val="0"/>
        <w:autoSpaceDN w:val="0"/>
        <w:adjustRightInd w:val="0"/>
        <w:spacing w:line="600" w:lineRule="exact"/>
        <w:ind w:firstLine="640" w:firstLineChars="200"/>
        <w:jc w:val="left"/>
        <w:rPr>
          <w:rFonts w:hint="eastAsia" w:eastAsia="仿宋_GB2312"/>
          <w:kern w:val="0"/>
          <w:sz w:val="32"/>
          <w:szCs w:val="32"/>
        </w:rPr>
      </w:pPr>
      <w:r>
        <w:rPr>
          <w:rFonts w:eastAsia="仿宋_GB2312"/>
          <w:kern w:val="0"/>
          <w:sz w:val="32"/>
          <w:szCs w:val="32"/>
        </w:rPr>
        <w:t>1．项目主要内容。</w:t>
      </w:r>
    </w:p>
    <w:p w14:paraId="180B4BCB">
      <w:pPr>
        <w:autoSpaceDE w:val="0"/>
        <w:autoSpaceDN w:val="0"/>
        <w:adjustRightInd w:val="0"/>
        <w:spacing w:line="600" w:lineRule="exact"/>
        <w:ind w:firstLine="640" w:firstLineChars="200"/>
        <w:jc w:val="left"/>
        <w:rPr>
          <w:rFonts w:hint="eastAsia" w:eastAsia="仿宋_GB2312"/>
          <w:kern w:val="0"/>
          <w:sz w:val="32"/>
          <w:szCs w:val="32"/>
        </w:rPr>
      </w:pPr>
      <w:r>
        <w:rPr>
          <w:rFonts w:hint="eastAsia" w:eastAsia="仿宋_GB2312"/>
          <w:kern w:val="0"/>
          <w:sz w:val="32"/>
          <w:szCs w:val="32"/>
        </w:rPr>
        <w:t>充分利用上级扶持政策，积极争取国家、省级各项资金，助力全市工业经济发展有明显成效，调动争取资金的积极性。</w:t>
      </w:r>
    </w:p>
    <w:p w14:paraId="3AF90843">
      <w:pPr>
        <w:autoSpaceDE w:val="0"/>
        <w:autoSpaceDN w:val="0"/>
        <w:adjustRightInd w:val="0"/>
        <w:spacing w:line="600" w:lineRule="exact"/>
        <w:ind w:firstLine="640" w:firstLineChars="200"/>
        <w:jc w:val="left"/>
        <w:rPr>
          <w:rFonts w:hint="eastAsia" w:eastAsia="仿宋_GB2312"/>
          <w:kern w:val="0"/>
          <w:sz w:val="32"/>
          <w:szCs w:val="32"/>
        </w:rPr>
      </w:pPr>
      <w:r>
        <w:rPr>
          <w:rFonts w:eastAsia="仿宋_GB2312"/>
          <w:kern w:val="0"/>
          <w:sz w:val="32"/>
          <w:szCs w:val="32"/>
        </w:rPr>
        <w:t>2．项目应实现的具体绩效目标。</w:t>
      </w:r>
    </w:p>
    <w:p w14:paraId="568FF84C">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积极向上争取国家、省级专项资金5234万元，涉及10各项目，主要分为两大类，其中：工业发展资金4963万元，中小企业发展专项资金271万元。</w:t>
      </w:r>
    </w:p>
    <w:p w14:paraId="213BE2DA">
      <w:pPr>
        <w:autoSpaceDE w:val="0"/>
        <w:autoSpaceDN w:val="0"/>
        <w:adjustRightInd w:val="0"/>
        <w:spacing w:line="600" w:lineRule="exact"/>
        <w:ind w:firstLine="640" w:firstLineChars="200"/>
        <w:jc w:val="left"/>
        <w:rPr>
          <w:rFonts w:hint="eastAsia" w:eastAsia="仿宋_GB2312"/>
          <w:kern w:val="0"/>
          <w:sz w:val="32"/>
          <w:szCs w:val="32"/>
        </w:rPr>
      </w:pPr>
      <w:r>
        <w:rPr>
          <w:rFonts w:eastAsia="仿宋_GB2312"/>
          <w:kern w:val="0"/>
          <w:sz w:val="32"/>
          <w:szCs w:val="32"/>
        </w:rPr>
        <w:t>3．申报内容是否与实际相符。</w:t>
      </w:r>
    </w:p>
    <w:p w14:paraId="70008336">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2021年</w:t>
      </w:r>
      <w:r>
        <w:rPr>
          <w:rFonts w:hint="eastAsia" w:eastAsia="仿宋_GB2312"/>
          <w:kern w:val="0"/>
          <w:sz w:val="32"/>
          <w:szCs w:val="32"/>
        </w:rPr>
        <w:t>争取资金专项工作经费</w:t>
      </w:r>
      <w:r>
        <w:rPr>
          <w:rFonts w:eastAsia="仿宋_GB2312"/>
          <w:kern w:val="0"/>
          <w:sz w:val="32"/>
          <w:szCs w:val="32"/>
        </w:rPr>
        <w:t>申报目标与实际相符，申报目标合理可行。</w:t>
      </w:r>
    </w:p>
    <w:p w14:paraId="6F5C9232">
      <w:pPr>
        <w:autoSpaceDE w:val="0"/>
        <w:autoSpaceDN w:val="0"/>
        <w:adjustRightInd w:val="0"/>
        <w:spacing w:line="600" w:lineRule="exact"/>
        <w:ind w:firstLine="640" w:firstLineChars="200"/>
        <w:jc w:val="left"/>
        <w:rPr>
          <w:rFonts w:eastAsia="楷体_GB2312"/>
          <w:kern w:val="0"/>
          <w:sz w:val="32"/>
          <w:szCs w:val="32"/>
        </w:rPr>
      </w:pPr>
      <w:r>
        <w:rPr>
          <w:rFonts w:eastAsia="黑体"/>
          <w:kern w:val="0"/>
          <w:sz w:val="32"/>
          <w:szCs w:val="32"/>
        </w:rPr>
        <w:t>二、项目资金申报及使用情况</w:t>
      </w:r>
    </w:p>
    <w:p w14:paraId="2A9A723C">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14:paraId="6CBB910A">
      <w:pPr>
        <w:autoSpaceDE w:val="0"/>
        <w:autoSpaceDN w:val="0"/>
        <w:adjustRightInd w:val="0"/>
        <w:spacing w:line="600" w:lineRule="exact"/>
        <w:ind w:firstLine="640" w:firstLineChars="200"/>
        <w:jc w:val="left"/>
        <w:rPr>
          <w:rFonts w:hint="eastAsia" w:eastAsia="仿宋_GB2312"/>
          <w:kern w:val="0"/>
          <w:sz w:val="32"/>
          <w:szCs w:val="32"/>
        </w:rPr>
      </w:pPr>
      <w:r>
        <w:rPr>
          <w:rFonts w:hint="eastAsia" w:eastAsia="仿宋_GB2312"/>
          <w:kern w:val="0"/>
          <w:sz w:val="32"/>
          <w:szCs w:val="32"/>
        </w:rPr>
        <w:t>攀财资预（2021）44号文件批复</w:t>
      </w:r>
      <w:r>
        <w:rPr>
          <w:rFonts w:eastAsia="仿宋_GB2312"/>
          <w:kern w:val="0"/>
          <w:sz w:val="32"/>
          <w:szCs w:val="32"/>
        </w:rPr>
        <w:t>2021年</w:t>
      </w:r>
      <w:r>
        <w:rPr>
          <w:rFonts w:hint="eastAsia" w:eastAsia="仿宋_GB2312"/>
          <w:kern w:val="0"/>
          <w:sz w:val="32"/>
          <w:szCs w:val="32"/>
        </w:rPr>
        <w:t>争取资金专项工作经费10万元。</w:t>
      </w:r>
    </w:p>
    <w:p w14:paraId="1FF7DBF6">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w:t>
      </w:r>
    </w:p>
    <w:p w14:paraId="59EBD019">
      <w:pPr>
        <w:autoSpaceDE w:val="0"/>
        <w:autoSpaceDN w:val="0"/>
        <w:adjustRightInd w:val="0"/>
        <w:spacing w:line="600" w:lineRule="exact"/>
        <w:ind w:firstLine="640" w:firstLineChars="200"/>
        <w:jc w:val="left"/>
        <w:rPr>
          <w:rFonts w:hint="eastAsia" w:eastAsia="楷体_GB2312"/>
          <w:kern w:val="0"/>
          <w:sz w:val="32"/>
          <w:szCs w:val="32"/>
        </w:rPr>
      </w:pPr>
      <w:r>
        <w:rPr>
          <w:rFonts w:eastAsia="楷体_GB2312"/>
          <w:kern w:val="0"/>
          <w:sz w:val="32"/>
          <w:szCs w:val="32"/>
        </w:rPr>
        <w:t>1．资金计划。</w:t>
      </w:r>
    </w:p>
    <w:p w14:paraId="01391600">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2021年市经济和信息化局申请</w:t>
      </w:r>
      <w:r>
        <w:rPr>
          <w:rFonts w:hint="eastAsia" w:eastAsia="仿宋_GB2312"/>
          <w:kern w:val="0"/>
          <w:sz w:val="32"/>
          <w:szCs w:val="32"/>
        </w:rPr>
        <w:t>争取资金专项工作经费10万元</w:t>
      </w:r>
      <w:r>
        <w:rPr>
          <w:rFonts w:eastAsia="仿宋_GB2312"/>
          <w:kern w:val="0"/>
          <w:sz w:val="32"/>
          <w:szCs w:val="32"/>
        </w:rPr>
        <w:t>，全为市财政资金。</w:t>
      </w:r>
      <w:r>
        <w:rPr>
          <w:rFonts w:hint="eastAsia" w:eastAsia="仿宋_GB2312"/>
          <w:kern w:val="0"/>
          <w:sz w:val="32"/>
          <w:szCs w:val="32"/>
        </w:rPr>
        <w:t xml:space="preserve"> </w:t>
      </w:r>
    </w:p>
    <w:p w14:paraId="67F5425F">
      <w:pPr>
        <w:autoSpaceDE w:val="0"/>
        <w:autoSpaceDN w:val="0"/>
        <w:adjustRightInd w:val="0"/>
        <w:spacing w:line="600" w:lineRule="exact"/>
        <w:ind w:firstLine="640" w:firstLineChars="200"/>
        <w:jc w:val="left"/>
        <w:rPr>
          <w:rFonts w:hint="eastAsia" w:eastAsia="楷体_GB2312"/>
          <w:kern w:val="0"/>
          <w:sz w:val="32"/>
          <w:szCs w:val="32"/>
        </w:rPr>
      </w:pPr>
      <w:r>
        <w:rPr>
          <w:rFonts w:eastAsia="楷体_GB2312"/>
          <w:kern w:val="0"/>
          <w:sz w:val="32"/>
          <w:szCs w:val="32"/>
        </w:rPr>
        <w:t>2．资金到位。</w:t>
      </w:r>
    </w:p>
    <w:p w14:paraId="1D009CC0">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2021年争取资金专项工作经费实际到位10万元，</w:t>
      </w:r>
      <w:r>
        <w:rPr>
          <w:rFonts w:eastAsia="仿宋_GB2312"/>
          <w:kern w:val="0"/>
          <w:sz w:val="32"/>
          <w:szCs w:val="32"/>
        </w:rPr>
        <w:t>到位率100%。</w:t>
      </w:r>
    </w:p>
    <w:p w14:paraId="0CC127F9">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3．资金使用。</w:t>
      </w:r>
    </w:p>
    <w:p w14:paraId="06C54578">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2021年争取资金专项工作经费实际支出10万元，</w:t>
      </w:r>
      <w:r>
        <w:rPr>
          <w:rFonts w:eastAsia="仿宋_GB2312"/>
          <w:kern w:val="0"/>
          <w:sz w:val="32"/>
          <w:szCs w:val="32"/>
        </w:rPr>
        <w:t>资金支付范围、支付标准、支付进度、支付依据等合规合法、与预算相符。</w:t>
      </w:r>
    </w:p>
    <w:p w14:paraId="3226086C">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14:paraId="45720C82">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财务管理制度健全，严格执行财务管理制度，账务处理及时，会计核算规范。</w:t>
      </w:r>
    </w:p>
    <w:p w14:paraId="4FD2B71F">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三、项目实施及管理情况</w:t>
      </w:r>
    </w:p>
    <w:p w14:paraId="2249C1BA">
      <w:pPr>
        <w:numPr>
          <w:ilvl w:val="0"/>
          <w:numId w:val="6"/>
        </w:numPr>
        <w:autoSpaceDE w:val="0"/>
        <w:autoSpaceDN w:val="0"/>
        <w:adjustRightInd w:val="0"/>
        <w:spacing w:line="600" w:lineRule="exact"/>
        <w:jc w:val="left"/>
        <w:rPr>
          <w:rFonts w:hint="eastAsia" w:eastAsia="楷体_GB2312"/>
          <w:kern w:val="0"/>
          <w:sz w:val="32"/>
          <w:szCs w:val="32"/>
        </w:rPr>
      </w:pPr>
      <w:r>
        <w:rPr>
          <w:rFonts w:eastAsia="楷体_GB2312"/>
          <w:kern w:val="0"/>
          <w:sz w:val="32"/>
          <w:szCs w:val="32"/>
        </w:rPr>
        <w:t>项目组织架构及实施流程。</w:t>
      </w:r>
      <w:r>
        <w:rPr>
          <w:rFonts w:hint="eastAsia" w:ascii="仿宋_GB2312" w:eastAsia="仿宋_GB2312"/>
          <w:kern w:val="0"/>
          <w:sz w:val="32"/>
          <w:szCs w:val="32"/>
        </w:rPr>
        <w:t>无。</w:t>
      </w:r>
    </w:p>
    <w:p w14:paraId="45AE0AE8">
      <w:pPr>
        <w:numPr>
          <w:ilvl w:val="0"/>
          <w:numId w:val="6"/>
        </w:numPr>
        <w:autoSpaceDE w:val="0"/>
        <w:autoSpaceDN w:val="0"/>
        <w:adjustRightInd w:val="0"/>
        <w:spacing w:line="600" w:lineRule="exact"/>
        <w:jc w:val="left"/>
        <w:rPr>
          <w:rFonts w:hint="eastAsia" w:eastAsia="楷体_GB2312"/>
          <w:kern w:val="0"/>
          <w:sz w:val="32"/>
          <w:szCs w:val="32"/>
        </w:rPr>
      </w:pPr>
      <w:r>
        <w:rPr>
          <w:rFonts w:eastAsia="楷体_GB2312"/>
          <w:kern w:val="0"/>
          <w:sz w:val="32"/>
          <w:szCs w:val="32"/>
        </w:rPr>
        <w:t>项目管理情况。</w:t>
      </w:r>
    </w:p>
    <w:p w14:paraId="477412ED">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严格执行相关法律法规及项目管理制度，严格按照单位财务管理制度执行资金支付。</w:t>
      </w:r>
    </w:p>
    <w:p w14:paraId="3F295C45">
      <w:pPr>
        <w:numPr>
          <w:ilvl w:val="0"/>
          <w:numId w:val="6"/>
        </w:numPr>
        <w:autoSpaceDE w:val="0"/>
        <w:autoSpaceDN w:val="0"/>
        <w:adjustRightInd w:val="0"/>
        <w:spacing w:line="600" w:lineRule="exact"/>
        <w:jc w:val="left"/>
        <w:rPr>
          <w:rFonts w:hint="eastAsia" w:eastAsia="楷体_GB2312"/>
          <w:kern w:val="0"/>
          <w:sz w:val="32"/>
          <w:szCs w:val="32"/>
        </w:rPr>
      </w:pPr>
      <w:r>
        <w:rPr>
          <w:rFonts w:eastAsia="楷体_GB2312"/>
          <w:kern w:val="0"/>
          <w:sz w:val="32"/>
          <w:szCs w:val="32"/>
        </w:rPr>
        <w:t>项目监管情况。</w:t>
      </w:r>
    </w:p>
    <w:p w14:paraId="2BFA4E81">
      <w:pPr>
        <w:autoSpaceDE w:val="0"/>
        <w:autoSpaceDN w:val="0"/>
        <w:adjustRightInd w:val="0"/>
        <w:spacing w:line="600" w:lineRule="exact"/>
        <w:ind w:firstLine="640" w:firstLineChars="200"/>
        <w:jc w:val="left"/>
        <w:rPr>
          <w:rFonts w:hint="eastAsia" w:eastAsia="仿宋_GB2312"/>
          <w:kern w:val="0"/>
          <w:sz w:val="32"/>
          <w:szCs w:val="32"/>
        </w:rPr>
      </w:pPr>
      <w:r>
        <w:rPr>
          <w:rFonts w:eastAsia="仿宋_GB2312"/>
          <w:sz w:val="32"/>
          <w:szCs w:val="32"/>
        </w:rPr>
        <w:t>严格执行项目监管要求，规范省级财政资金管理，提高资金使用效益，做好</w:t>
      </w:r>
      <w:r>
        <w:rPr>
          <w:rFonts w:hint="eastAsia" w:eastAsia="仿宋_GB2312"/>
          <w:sz w:val="32"/>
          <w:szCs w:val="32"/>
        </w:rPr>
        <w:t>向上争取资金工作，</w:t>
      </w:r>
      <w:r>
        <w:rPr>
          <w:rFonts w:hint="eastAsia" w:eastAsia="仿宋_GB2312"/>
          <w:kern w:val="0"/>
          <w:sz w:val="32"/>
          <w:szCs w:val="32"/>
        </w:rPr>
        <w:t>调动争取资金的积极性，助力全市工业经济发展。</w:t>
      </w:r>
    </w:p>
    <w:p w14:paraId="1E86928F">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四、项目绩效情况</w:t>
      </w:r>
    </w:p>
    <w:p w14:paraId="1C0F6F9A">
      <w:pPr>
        <w:autoSpaceDE w:val="0"/>
        <w:autoSpaceDN w:val="0"/>
        <w:adjustRightInd w:val="0"/>
        <w:spacing w:line="600" w:lineRule="exact"/>
        <w:ind w:firstLine="640" w:firstLineChars="200"/>
        <w:jc w:val="left"/>
        <w:rPr>
          <w:rFonts w:hint="eastAsia" w:eastAsia="楷体_GB2312"/>
          <w:kern w:val="0"/>
          <w:sz w:val="32"/>
          <w:szCs w:val="32"/>
        </w:rPr>
      </w:pPr>
      <w:r>
        <w:rPr>
          <w:rFonts w:eastAsia="楷体_GB2312"/>
          <w:kern w:val="0"/>
          <w:sz w:val="32"/>
          <w:szCs w:val="32"/>
        </w:rPr>
        <w:t>（一）项目完成情况。</w:t>
      </w:r>
    </w:p>
    <w:p w14:paraId="0144C526">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2021年积极向上争取国家、省级专项资金5234万元，涉及10个项目，</w:t>
      </w:r>
      <w:r>
        <w:rPr>
          <w:rFonts w:eastAsia="仿宋_GB2312"/>
          <w:kern w:val="0"/>
          <w:sz w:val="32"/>
          <w:szCs w:val="32"/>
        </w:rPr>
        <w:t>积极推进全市</w:t>
      </w:r>
      <w:r>
        <w:rPr>
          <w:rFonts w:hint="eastAsia" w:eastAsia="仿宋_GB2312"/>
          <w:kern w:val="0"/>
          <w:sz w:val="32"/>
          <w:szCs w:val="32"/>
        </w:rPr>
        <w:t>工业经济</w:t>
      </w:r>
      <w:r>
        <w:rPr>
          <w:rFonts w:eastAsia="仿宋_GB2312"/>
          <w:kern w:val="0"/>
          <w:sz w:val="32"/>
          <w:szCs w:val="32"/>
        </w:rPr>
        <w:t>更好发展</w:t>
      </w:r>
      <w:r>
        <w:rPr>
          <w:rFonts w:hint="eastAsia" w:eastAsia="仿宋_GB2312"/>
          <w:kern w:val="0"/>
          <w:sz w:val="32"/>
          <w:szCs w:val="32"/>
        </w:rPr>
        <w:t>。</w:t>
      </w:r>
    </w:p>
    <w:p w14:paraId="3C117CBC">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（二）项目效益情况。</w:t>
      </w:r>
    </w:p>
    <w:p w14:paraId="03E8FBCE">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全市工业经济发展有明显成效，调动争取资金的积极性。</w:t>
      </w:r>
      <w:r>
        <w:rPr>
          <w:rFonts w:eastAsia="仿宋_GB2312"/>
          <w:kern w:val="0"/>
          <w:sz w:val="32"/>
          <w:szCs w:val="32"/>
        </w:rPr>
        <w:t>项目经济效益、社会效益、生态效益、可持续效益以及服务对象满意度等均达预期目标。</w:t>
      </w:r>
    </w:p>
    <w:p w14:paraId="3C101959">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五、评价结论及建议</w:t>
      </w:r>
    </w:p>
    <w:p w14:paraId="4CEB54D9">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（一）评价结论。</w:t>
      </w:r>
    </w:p>
    <w:p w14:paraId="11C6909B">
      <w:pPr>
        <w:autoSpaceDE w:val="0"/>
        <w:autoSpaceDN w:val="0"/>
        <w:adjustRightInd w:val="0"/>
        <w:spacing w:line="600" w:lineRule="exact"/>
        <w:ind w:firstLine="640" w:firstLineChars="200"/>
        <w:jc w:val="left"/>
        <w:rPr>
          <w:rFonts w:hint="eastAsia" w:eastAsia="仿宋_GB2312"/>
          <w:kern w:val="0"/>
          <w:sz w:val="32"/>
          <w:szCs w:val="32"/>
        </w:rPr>
      </w:pPr>
      <w:r>
        <w:rPr>
          <w:rFonts w:eastAsia="仿宋_GB2312"/>
          <w:kern w:val="0"/>
          <w:sz w:val="32"/>
          <w:szCs w:val="32"/>
        </w:rPr>
        <w:t>2021年项目的产出指 标、效益指标、满意度指标均全面完成</w:t>
      </w:r>
      <w:r>
        <w:rPr>
          <w:rFonts w:hint="eastAsia" w:eastAsia="仿宋_GB2312"/>
          <w:kern w:val="0"/>
          <w:sz w:val="32"/>
          <w:szCs w:val="32"/>
        </w:rPr>
        <w:t>，</w:t>
      </w:r>
      <w:r>
        <w:rPr>
          <w:rFonts w:eastAsia="仿宋_GB2312"/>
          <w:kern w:val="0"/>
          <w:sz w:val="32"/>
          <w:szCs w:val="32"/>
        </w:rPr>
        <w:t>项目决策、项目管理、项目绩效三个方面均完成较好。</w:t>
      </w:r>
    </w:p>
    <w:p w14:paraId="716B90E0">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（二）存在的问题。</w:t>
      </w:r>
    </w:p>
    <w:p w14:paraId="62D28AA6">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无</w:t>
      </w:r>
      <w:r>
        <w:rPr>
          <w:rFonts w:eastAsia="仿宋_GB2312"/>
          <w:kern w:val="0"/>
          <w:sz w:val="32"/>
          <w:szCs w:val="32"/>
        </w:rPr>
        <w:t>。</w:t>
      </w:r>
    </w:p>
    <w:p w14:paraId="68B837E7">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（三）相关建议。</w:t>
      </w:r>
    </w:p>
    <w:p w14:paraId="5005BE87">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无</w:t>
      </w:r>
      <w:r>
        <w:rPr>
          <w:rFonts w:eastAsia="仿宋_GB2312"/>
          <w:kern w:val="0"/>
          <w:sz w:val="32"/>
          <w:szCs w:val="32"/>
        </w:rPr>
        <w:t>。</w:t>
      </w:r>
    </w:p>
    <w:p w14:paraId="6F1F96C0">
      <w:pPr>
        <w:pStyle w:val="7"/>
        <w:spacing w:before="93" w:line="600" w:lineRule="exact"/>
        <w:ind w:firstLine="640" w:firstLineChars="200"/>
        <w:jc w:val="left"/>
        <w:rPr>
          <w:rFonts w:ascii="黑体" w:hAnsi="黑体" w:eastAsia="黑体" w:cs="仿宋_GB2312"/>
          <w:sz w:val="32"/>
          <w:szCs w:val="32"/>
        </w:rPr>
      </w:pPr>
    </w:p>
    <w:p w14:paraId="5A28B324">
      <w:pPr>
        <w:widowControl/>
        <w:adjustRightInd w:val="0"/>
        <w:snapToGrid w:val="0"/>
        <w:spacing w:line="580" w:lineRule="exact"/>
        <w:ind w:firstLine="640" w:firstLineChars="200"/>
        <w:contextualSpacing/>
        <w:jc w:val="left"/>
        <w:rPr>
          <w:rFonts w:hint="eastAsia" w:eastAsia="仿宋_GB2312"/>
          <w:kern w:val="0"/>
          <w:sz w:val="32"/>
          <w:szCs w:val="32"/>
          <w:shd w:val="clear" w:color="auto" w:fill="FFFFFF"/>
          <w:lang w:val="zh-CN"/>
        </w:rPr>
      </w:pPr>
    </w:p>
    <w:p w14:paraId="7261A0BA">
      <w:pPr>
        <w:pStyle w:val="2"/>
        <w:spacing w:before="93"/>
        <w:rPr>
          <w:rFonts w:hint="eastAsia"/>
          <w:lang w:val="zh-CN"/>
        </w:rPr>
      </w:pPr>
    </w:p>
    <w:p w14:paraId="0E78A69B">
      <w:pPr>
        <w:pStyle w:val="2"/>
        <w:spacing w:before="93"/>
        <w:rPr>
          <w:rFonts w:hint="eastAsia"/>
          <w:lang w:val="zh-CN"/>
        </w:rPr>
      </w:pPr>
    </w:p>
    <w:p w14:paraId="178D9D0D">
      <w:pPr>
        <w:pStyle w:val="2"/>
        <w:spacing w:before="93"/>
        <w:rPr>
          <w:rFonts w:hint="eastAsia"/>
          <w:lang w:val="zh-CN"/>
        </w:rPr>
      </w:pPr>
    </w:p>
    <w:p w14:paraId="3EED3E09">
      <w:pPr>
        <w:pStyle w:val="2"/>
        <w:spacing w:before="93"/>
        <w:rPr>
          <w:rFonts w:hint="eastAsia"/>
          <w:lang w:val="zh-CN"/>
        </w:rPr>
      </w:pPr>
    </w:p>
    <w:p w14:paraId="4C279E35">
      <w:pPr>
        <w:pStyle w:val="2"/>
        <w:spacing w:before="93"/>
        <w:rPr>
          <w:rFonts w:hint="eastAsia"/>
          <w:lang w:val="zh-CN"/>
        </w:rPr>
      </w:pPr>
    </w:p>
    <w:p w14:paraId="19ECDB90">
      <w:pPr>
        <w:pStyle w:val="2"/>
        <w:spacing w:before="93"/>
        <w:rPr>
          <w:rFonts w:hint="eastAsia"/>
          <w:lang w:val="zh-CN"/>
        </w:rPr>
      </w:pPr>
    </w:p>
    <w:p w14:paraId="1A71EACE">
      <w:pPr>
        <w:pStyle w:val="2"/>
        <w:spacing w:before="93"/>
        <w:rPr>
          <w:rFonts w:hint="eastAsia"/>
          <w:lang w:val="zh-CN"/>
        </w:rPr>
      </w:pPr>
    </w:p>
    <w:p w14:paraId="2CAC5CD1">
      <w:pPr>
        <w:pStyle w:val="2"/>
        <w:spacing w:before="93"/>
        <w:rPr>
          <w:rFonts w:hint="eastAsia"/>
          <w:lang w:val="zh-CN"/>
        </w:rPr>
      </w:pPr>
    </w:p>
    <w:p w14:paraId="7B5BEBC1">
      <w:pPr>
        <w:pStyle w:val="2"/>
        <w:spacing w:before="93"/>
        <w:rPr>
          <w:rFonts w:hint="eastAsia"/>
          <w:lang w:val="zh-CN"/>
        </w:rPr>
      </w:pPr>
    </w:p>
    <w:p w14:paraId="6F5B5A3B">
      <w:pPr>
        <w:pStyle w:val="7"/>
        <w:spacing w:before="93" w:line="600" w:lineRule="exact"/>
        <w:ind w:firstLine="640" w:firstLineChars="200"/>
        <w:jc w:val="left"/>
        <w:rPr>
          <w:rFonts w:ascii="Times New Roman" w:hAnsi="Times New Roman" w:eastAsia="黑体"/>
          <w:sz w:val="32"/>
          <w:szCs w:val="32"/>
        </w:rPr>
      </w:pPr>
    </w:p>
    <w:p w14:paraId="461080CB">
      <w:pPr>
        <w:pStyle w:val="7"/>
        <w:spacing w:before="93" w:line="600" w:lineRule="exact"/>
        <w:ind w:firstLine="640" w:firstLineChars="200"/>
        <w:jc w:val="left"/>
        <w:rPr>
          <w:rFonts w:ascii="Times New Roman" w:hAnsi="Times New Roman" w:eastAsia="仿宋_GB2312"/>
          <w:sz w:val="32"/>
          <w:szCs w:val="32"/>
        </w:rPr>
      </w:pPr>
    </w:p>
    <w:p w14:paraId="739758D1">
      <w:pPr>
        <w:pStyle w:val="7"/>
        <w:spacing w:before="93" w:line="600" w:lineRule="exact"/>
        <w:ind w:firstLine="720" w:firstLineChars="200"/>
        <w:jc w:val="center"/>
        <w:rPr>
          <w:rFonts w:ascii="Times New Roman" w:hAnsi="Times New Roman" w:eastAsia="方正小标宋_GBK"/>
          <w:sz w:val="36"/>
          <w:szCs w:val="36"/>
        </w:rPr>
      </w:pPr>
      <w:r>
        <w:rPr>
          <w:rFonts w:ascii="Times New Roman" w:hAnsi="Times New Roman" w:eastAsia="方正小标宋_GBK"/>
          <w:sz w:val="36"/>
          <w:szCs w:val="36"/>
        </w:rPr>
        <w:t>攀枝花市经济和信息化局</w:t>
      </w:r>
    </w:p>
    <w:p w14:paraId="442702DF">
      <w:pPr>
        <w:pStyle w:val="7"/>
        <w:spacing w:before="93" w:line="600" w:lineRule="exact"/>
        <w:ind w:firstLine="720" w:firstLineChars="200"/>
        <w:jc w:val="center"/>
        <w:rPr>
          <w:rFonts w:ascii="Times New Roman" w:hAnsi="Times New Roman" w:eastAsia="方正小标宋_GBK"/>
          <w:sz w:val="36"/>
          <w:szCs w:val="36"/>
        </w:rPr>
      </w:pPr>
      <w:r>
        <w:rPr>
          <w:rFonts w:ascii="Times New Roman" w:hAnsi="Times New Roman" w:eastAsia="方正小标宋_GBK"/>
          <w:sz w:val="36"/>
          <w:szCs w:val="36"/>
        </w:rPr>
        <w:t>2021年度部门预算项目支出绩效自评报告</w:t>
      </w:r>
    </w:p>
    <w:p w14:paraId="6102C0BF">
      <w:pPr>
        <w:pStyle w:val="7"/>
        <w:spacing w:before="93" w:line="600" w:lineRule="exact"/>
        <w:ind w:firstLine="720" w:firstLineChars="200"/>
        <w:jc w:val="center"/>
        <w:rPr>
          <w:rFonts w:ascii="Times New Roman" w:hAnsi="Times New Roman" w:eastAsia="方正小标宋_GBK"/>
          <w:sz w:val="36"/>
          <w:szCs w:val="36"/>
        </w:rPr>
      </w:pPr>
      <w:r>
        <w:rPr>
          <w:rFonts w:ascii="Times New Roman" w:hAnsi="Times New Roman" w:eastAsia="方正小标宋_GBK"/>
          <w:sz w:val="36"/>
          <w:szCs w:val="36"/>
        </w:rPr>
        <w:t>（业务运行费）</w:t>
      </w:r>
    </w:p>
    <w:p w14:paraId="307FB166">
      <w:pPr>
        <w:pStyle w:val="7"/>
        <w:spacing w:before="93" w:line="600" w:lineRule="exact"/>
        <w:ind w:firstLine="640" w:firstLineChars="200"/>
        <w:jc w:val="left"/>
        <w:rPr>
          <w:rFonts w:ascii="Times New Roman" w:hAnsi="Times New Roman" w:eastAsia="仿宋_GB2312"/>
          <w:sz w:val="32"/>
          <w:szCs w:val="32"/>
        </w:rPr>
      </w:pPr>
    </w:p>
    <w:p w14:paraId="09F266A5">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一、项目概况</w:t>
      </w:r>
    </w:p>
    <w:p w14:paraId="3F4CF7A2">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（一）项目基本情况。</w:t>
      </w:r>
    </w:p>
    <w:p w14:paraId="0CA345A9">
      <w:pPr>
        <w:autoSpaceDE w:val="0"/>
        <w:autoSpaceDN w:val="0"/>
        <w:adjustRightInd w:val="0"/>
        <w:spacing w:line="600" w:lineRule="exact"/>
        <w:ind w:firstLine="640" w:firstLineChars="200"/>
        <w:jc w:val="left"/>
        <w:rPr>
          <w:rFonts w:eastAsia="仿宋_GB2312"/>
          <w:sz w:val="32"/>
          <w:szCs w:val="32"/>
        </w:rPr>
      </w:pPr>
      <w:r>
        <w:rPr>
          <w:rFonts w:eastAsia="仿宋_GB2312"/>
          <w:kern w:val="0"/>
          <w:sz w:val="32"/>
          <w:szCs w:val="32"/>
        </w:rPr>
        <w:t>1.项目主管部门职能职责。攀枝花市经济和信息化局作为</w:t>
      </w:r>
      <w:r>
        <w:rPr>
          <w:rFonts w:eastAsia="仿宋_GB2312"/>
          <w:sz w:val="32"/>
          <w:szCs w:val="32"/>
        </w:rPr>
        <w:t>全市经济运行综合协调部门和全市工业经济、民营经济及信息产业的行业主管部门。负责对省级工业发展资金支持项目监督管理工作，要求工业、信息服务业等按照行业技术规范和标准实施，对省级工业发展资金支持的工业项目开展绩效评价和审查工作。</w:t>
      </w:r>
    </w:p>
    <w:p w14:paraId="612F331E">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2．项目立项、资金申报的依据。</w:t>
      </w:r>
    </w:p>
    <w:p w14:paraId="7AE92958">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按照省经济和信息化委办公室《关于做好2017-2018年省级工业发展资金支持项目监督管理工作的通知》（川经信办函</w:t>
      </w:r>
      <w:r>
        <w:rPr>
          <w:kern w:val="0"/>
          <w:sz w:val="32"/>
          <w:szCs w:val="32"/>
        </w:rPr>
        <w:t>﹝</w:t>
      </w:r>
      <w:r>
        <w:rPr>
          <w:rFonts w:eastAsia="仿宋_GB2312"/>
          <w:kern w:val="0"/>
          <w:sz w:val="32"/>
          <w:szCs w:val="32"/>
        </w:rPr>
        <w:t>2018</w:t>
      </w:r>
      <w:r>
        <w:rPr>
          <w:kern w:val="0"/>
          <w:sz w:val="32"/>
          <w:szCs w:val="32"/>
        </w:rPr>
        <w:t>﹞</w:t>
      </w:r>
      <w:r>
        <w:rPr>
          <w:rFonts w:eastAsia="仿宋_GB2312"/>
          <w:kern w:val="0"/>
          <w:sz w:val="32"/>
          <w:szCs w:val="32"/>
        </w:rPr>
        <w:t>202号）要求，获得省级工业发展资金支持的工业项目开展绩效评价工作，以规范省级财政资金管理，提高资金使用效益。2、按照《四川省经济和信息化委员会关于印发&lt;四川省技术改造项目节能审查办法&gt;的通知》（川经信环资〔2017〕297号）要求，同构购买第三方机构服务，提升工业和信息化领域节能减排管理水平。</w:t>
      </w:r>
    </w:p>
    <w:p w14:paraId="58A0BD01">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 财务管理制度健全，该项资金主要用于协助推进省级重点项目实施、统筹规划和协调管理等，具体支持项目为省级工业发展资金支持项目和省技术改造项目等。</w:t>
      </w:r>
    </w:p>
    <w:p w14:paraId="24C750FE">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4.资金分配原则及考虑因素。</w:t>
      </w:r>
    </w:p>
    <w:p w14:paraId="4EFAA848">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业务运行经费分配坚持“公平、效率、控制力”的原则，根据项目重要性、紧急程度、需求情况等因素进行分配，同时不改变主管部门对财政专项资金的分配权、管理权。</w:t>
      </w:r>
    </w:p>
    <w:p w14:paraId="7B2F95F4">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（二）项目绩效目标。</w:t>
      </w:r>
    </w:p>
    <w:p w14:paraId="4760AEC8">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1．项目主要内容。</w:t>
      </w:r>
    </w:p>
    <w:p w14:paraId="5362738F">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业务运行费主要用于协助推进省级重点项目实施、统筹规划和协调管理。</w:t>
      </w:r>
    </w:p>
    <w:p w14:paraId="55F46546">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2．项目应实现的具体绩效目标。</w:t>
      </w:r>
    </w:p>
    <w:p w14:paraId="02937CF6">
      <w:pPr>
        <w:autoSpaceDE w:val="0"/>
        <w:autoSpaceDN w:val="0"/>
        <w:adjustRightInd w:val="0"/>
        <w:spacing w:line="600" w:lineRule="exact"/>
        <w:ind w:firstLine="640" w:firstLineChars="200"/>
        <w:jc w:val="left"/>
        <w:rPr>
          <w:rFonts w:eastAsia="仿宋_GB2312"/>
          <w:kern w:val="0"/>
          <w:sz w:val="32"/>
          <w:szCs w:val="32"/>
        </w:rPr>
      </w:pPr>
      <w:r>
        <w:rPr>
          <w:rFonts w:eastAsia="仿宋_GB2312"/>
          <w:sz w:val="32"/>
          <w:szCs w:val="32"/>
        </w:rPr>
        <w:t>对2021年省级工业发展资金支持项目监督管理工作，要求工业、信息服务业等按照行业技术规范和标准实施，对省级工业发展资金支持的工业项目开展绩效评价和审查工作。</w:t>
      </w:r>
    </w:p>
    <w:p w14:paraId="2225307A">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3．申报内容是否与实际相符。</w:t>
      </w:r>
    </w:p>
    <w:p w14:paraId="1B11D00D">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2021年业务运行费申报目标与实际相符，申报目标合理可行。</w:t>
      </w:r>
    </w:p>
    <w:p w14:paraId="36403BBC">
      <w:pPr>
        <w:autoSpaceDE w:val="0"/>
        <w:autoSpaceDN w:val="0"/>
        <w:adjustRightInd w:val="0"/>
        <w:spacing w:line="600" w:lineRule="exact"/>
        <w:ind w:firstLine="640" w:firstLineChars="200"/>
        <w:jc w:val="left"/>
        <w:rPr>
          <w:rFonts w:eastAsia="楷体_GB2312"/>
          <w:kern w:val="0"/>
          <w:sz w:val="32"/>
          <w:szCs w:val="32"/>
        </w:rPr>
      </w:pPr>
      <w:r>
        <w:rPr>
          <w:rFonts w:eastAsia="黑体"/>
          <w:kern w:val="0"/>
          <w:sz w:val="32"/>
          <w:szCs w:val="32"/>
        </w:rPr>
        <w:t>二、项目资金申报及使用情况</w:t>
      </w:r>
    </w:p>
    <w:p w14:paraId="0AE17FB9">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14:paraId="05DA4A7A">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按照财政要求完成年初目标绩效申报。</w:t>
      </w:r>
    </w:p>
    <w:p w14:paraId="37CE0B81">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w:t>
      </w:r>
    </w:p>
    <w:p w14:paraId="72ECFD26">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1．资金计划。</w:t>
      </w:r>
    </w:p>
    <w:p w14:paraId="29A27BB8">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2021年市经济和信息化局申请业务运行费50.1万元，全为市财政资金。</w:t>
      </w:r>
    </w:p>
    <w:p w14:paraId="5DB24755">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2．资金到位。</w:t>
      </w:r>
    </w:p>
    <w:p w14:paraId="6514278E">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2021年申报业务运行费50.1万元，财政审批业务运行费10万元，全为市财政资金。根据市财政审批后，业务运行费到位率100%。</w:t>
      </w:r>
    </w:p>
    <w:p w14:paraId="52FE06F6">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3．资金使用。</w:t>
      </w:r>
    </w:p>
    <w:p w14:paraId="4586EF5E">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2021年业务运行费支出10万元，资金支付范围、支付标准、支付进度、支付依据等合规合法、与预算相符。</w:t>
      </w:r>
    </w:p>
    <w:p w14:paraId="7E7406B9">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14:paraId="6BCE6703">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财务管理制度健全，严格执行财务管理制度，账务处理及时，会计核算规范。</w:t>
      </w:r>
    </w:p>
    <w:p w14:paraId="29A51CCE">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三、项目实施及管理情况</w:t>
      </w:r>
    </w:p>
    <w:p w14:paraId="4EED2A01">
      <w:pPr>
        <w:autoSpaceDE w:val="0"/>
        <w:autoSpaceDN w:val="0"/>
        <w:adjustRightInd w:val="0"/>
        <w:spacing w:line="600" w:lineRule="exact"/>
        <w:ind w:firstLine="640" w:firstLineChars="200"/>
        <w:jc w:val="left"/>
        <w:rPr>
          <w:rFonts w:eastAsia="仿宋_GB2312"/>
          <w:kern w:val="0"/>
          <w:sz w:val="32"/>
          <w:szCs w:val="32"/>
        </w:rPr>
      </w:pPr>
      <w:r>
        <w:rPr>
          <w:rFonts w:eastAsia="楷体_GB2312"/>
          <w:kern w:val="0"/>
          <w:sz w:val="32"/>
          <w:szCs w:val="32"/>
        </w:rPr>
        <w:t>（一）项目组织架构及实施流程。</w:t>
      </w:r>
      <w:r>
        <w:rPr>
          <w:rFonts w:eastAsia="仿宋_GB2312"/>
          <w:kern w:val="0"/>
          <w:sz w:val="32"/>
          <w:szCs w:val="32"/>
        </w:rPr>
        <w:t>无。</w:t>
      </w:r>
    </w:p>
    <w:p w14:paraId="17C474F9">
      <w:pPr>
        <w:autoSpaceDE w:val="0"/>
        <w:autoSpaceDN w:val="0"/>
        <w:adjustRightInd w:val="0"/>
        <w:spacing w:line="600" w:lineRule="exact"/>
        <w:ind w:firstLine="640" w:firstLineChars="200"/>
        <w:jc w:val="left"/>
        <w:rPr>
          <w:rFonts w:eastAsia="仿宋_GB2312"/>
          <w:kern w:val="0"/>
          <w:sz w:val="32"/>
          <w:szCs w:val="32"/>
        </w:rPr>
      </w:pPr>
      <w:r>
        <w:rPr>
          <w:rFonts w:eastAsia="楷体_GB2312"/>
          <w:kern w:val="0"/>
          <w:sz w:val="32"/>
          <w:szCs w:val="32"/>
        </w:rPr>
        <w:t>（二）项目管理情况。</w:t>
      </w:r>
    </w:p>
    <w:p w14:paraId="121BD991">
      <w:pPr>
        <w:autoSpaceDE w:val="0"/>
        <w:autoSpaceDN w:val="0"/>
        <w:adjustRightInd w:val="0"/>
        <w:spacing w:line="600" w:lineRule="exact"/>
        <w:ind w:firstLine="640" w:firstLineChars="200"/>
        <w:jc w:val="left"/>
        <w:rPr>
          <w:rFonts w:eastAsia="仿宋_GB2312"/>
          <w:kern w:val="0"/>
          <w:sz w:val="32"/>
          <w:szCs w:val="32"/>
        </w:rPr>
      </w:pPr>
      <w:r>
        <w:rPr>
          <w:rFonts w:eastAsia="仿宋_GB2312"/>
          <w:sz w:val="32"/>
          <w:szCs w:val="32"/>
        </w:rPr>
        <w:t>要求工业、信息服务业等按照行业技术规范和标准实施，</w:t>
      </w:r>
      <w:r>
        <w:rPr>
          <w:rFonts w:eastAsia="仿宋_GB2312"/>
          <w:kern w:val="0"/>
          <w:sz w:val="32"/>
          <w:szCs w:val="32"/>
        </w:rPr>
        <w:t>严格按照项目管理规定执行。</w:t>
      </w:r>
    </w:p>
    <w:p w14:paraId="6FC08AA2">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（三）项目监管情况。</w:t>
      </w:r>
    </w:p>
    <w:p w14:paraId="2D8B34CA">
      <w:pPr>
        <w:autoSpaceDE w:val="0"/>
        <w:autoSpaceDN w:val="0"/>
        <w:adjustRightInd w:val="0"/>
        <w:spacing w:line="600" w:lineRule="exact"/>
        <w:ind w:firstLine="640" w:firstLineChars="200"/>
        <w:jc w:val="left"/>
        <w:rPr>
          <w:rFonts w:eastAsia="仿宋_GB2312"/>
          <w:sz w:val="32"/>
          <w:szCs w:val="32"/>
        </w:rPr>
      </w:pPr>
      <w:r>
        <w:rPr>
          <w:rFonts w:eastAsia="仿宋_GB2312"/>
          <w:sz w:val="32"/>
          <w:szCs w:val="32"/>
        </w:rPr>
        <w:t>严格执行项目监管要求，规范省级财政资金管理，提高资金使用效益，提升工业和信息化领域节能减排管理水平。</w:t>
      </w:r>
    </w:p>
    <w:p w14:paraId="2DF7FA84">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四、项目绩效情况</w:t>
      </w:r>
    </w:p>
    <w:p w14:paraId="71B5980D">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（一）项目完成情况。</w:t>
      </w:r>
    </w:p>
    <w:p w14:paraId="0836BFE3">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对2021年省级工业发展资金支持工业项目和省技术改造项目进行绩效评价工作，召开节能报告专家评审会。</w:t>
      </w:r>
    </w:p>
    <w:p w14:paraId="6B8BC7FE">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（二）项目效益情况。</w:t>
      </w:r>
    </w:p>
    <w:p w14:paraId="22899060">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项目经济效益、社会效益、生态效益、可持续效益以及服务对象满意度等均达预期目标。</w:t>
      </w:r>
    </w:p>
    <w:p w14:paraId="00F4798E">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五、评价结论及建议</w:t>
      </w:r>
    </w:p>
    <w:p w14:paraId="7202AFF1">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（一）评价结论。</w:t>
      </w:r>
    </w:p>
    <w:p w14:paraId="4DD907A8">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项目决策、项目管理、项目绩效三个方面均完成较好。</w:t>
      </w:r>
    </w:p>
    <w:p w14:paraId="3C2E2ED2">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（二）存在的问题。</w:t>
      </w:r>
    </w:p>
    <w:p w14:paraId="2F9A5B5C">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无。</w:t>
      </w:r>
    </w:p>
    <w:p w14:paraId="67401FE8">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（三）相关建议。</w:t>
      </w:r>
    </w:p>
    <w:p w14:paraId="68BF32F9">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无。</w:t>
      </w:r>
    </w:p>
    <w:p w14:paraId="2213A100">
      <w:pPr>
        <w:autoSpaceDE w:val="0"/>
        <w:autoSpaceDN w:val="0"/>
        <w:adjustRightInd w:val="0"/>
        <w:spacing w:line="600" w:lineRule="exact"/>
        <w:ind w:firstLine="640" w:firstLineChars="200"/>
        <w:jc w:val="left"/>
        <w:rPr>
          <w:rFonts w:eastAsia="仿宋_GB2312"/>
          <w:kern w:val="0"/>
          <w:sz w:val="32"/>
          <w:szCs w:val="32"/>
        </w:rPr>
      </w:pPr>
    </w:p>
    <w:p w14:paraId="6DD121EE">
      <w:pPr>
        <w:pStyle w:val="7"/>
        <w:spacing w:before="93" w:line="600" w:lineRule="exact"/>
        <w:ind w:firstLine="640" w:firstLineChars="200"/>
        <w:jc w:val="left"/>
        <w:rPr>
          <w:rFonts w:ascii="Times New Roman" w:hAnsi="Times New Roman" w:eastAsia="黑体"/>
          <w:sz w:val="32"/>
          <w:szCs w:val="32"/>
        </w:rPr>
      </w:pPr>
    </w:p>
    <w:p w14:paraId="2FDEF70A">
      <w:pPr>
        <w:pStyle w:val="2"/>
        <w:spacing w:before="93"/>
        <w:rPr>
          <w:rFonts w:hint="eastAsia"/>
          <w:lang w:val="zh-CN"/>
        </w:rPr>
      </w:pPr>
    </w:p>
    <w:p w14:paraId="10A2E651">
      <w:pPr>
        <w:pStyle w:val="2"/>
        <w:spacing w:before="93"/>
        <w:rPr>
          <w:rFonts w:hint="eastAsia"/>
          <w:lang w:val="zh-CN"/>
        </w:rPr>
      </w:pPr>
    </w:p>
    <w:p w14:paraId="7E7CF49B">
      <w:pPr>
        <w:pStyle w:val="2"/>
        <w:spacing w:before="93"/>
        <w:rPr>
          <w:rFonts w:hint="eastAsia"/>
          <w:lang w:val="zh-CN"/>
        </w:rPr>
      </w:pPr>
    </w:p>
    <w:p w14:paraId="67990BE9">
      <w:pPr>
        <w:pStyle w:val="2"/>
        <w:spacing w:before="93"/>
        <w:rPr>
          <w:rFonts w:hint="eastAsia"/>
          <w:lang w:val="zh-CN"/>
        </w:rPr>
      </w:pPr>
    </w:p>
    <w:p w14:paraId="1887A9E2">
      <w:pPr>
        <w:pStyle w:val="2"/>
        <w:spacing w:before="93"/>
        <w:rPr>
          <w:rFonts w:hint="eastAsia"/>
          <w:lang w:val="zh-CN"/>
        </w:rPr>
      </w:pPr>
    </w:p>
    <w:p w14:paraId="5F015B12">
      <w:pPr>
        <w:pStyle w:val="2"/>
        <w:spacing w:before="93"/>
        <w:rPr>
          <w:rFonts w:hint="eastAsia"/>
          <w:lang w:val="zh-CN"/>
        </w:rPr>
      </w:pPr>
    </w:p>
    <w:p w14:paraId="3AB7A813">
      <w:pPr>
        <w:pStyle w:val="2"/>
        <w:spacing w:before="93"/>
        <w:rPr>
          <w:rFonts w:hint="eastAsia"/>
          <w:lang w:val="zh-CN"/>
        </w:rPr>
      </w:pPr>
    </w:p>
    <w:p w14:paraId="0837719A">
      <w:pPr>
        <w:pStyle w:val="7"/>
        <w:spacing w:before="93" w:line="600" w:lineRule="exact"/>
        <w:ind w:firstLine="720"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攀枝花无线电监测站</w:t>
      </w:r>
    </w:p>
    <w:p w14:paraId="7D01E8BE">
      <w:pPr>
        <w:pStyle w:val="7"/>
        <w:spacing w:before="93" w:line="600" w:lineRule="exact"/>
        <w:ind w:firstLine="720"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202</w:t>
      </w:r>
      <w:r>
        <w:rPr>
          <w:rFonts w:ascii="方正小标宋_GBK" w:hAnsi="黑体" w:eastAsia="方正小标宋_GBK" w:cs="黑体"/>
          <w:sz w:val="36"/>
          <w:szCs w:val="36"/>
        </w:rPr>
        <w:t>1</w:t>
      </w:r>
      <w:r>
        <w:rPr>
          <w:rFonts w:hint="eastAsia" w:ascii="方正小标宋_GBK" w:hAnsi="黑体" w:eastAsia="方正小标宋_GBK" w:cs="黑体"/>
          <w:sz w:val="36"/>
          <w:szCs w:val="36"/>
        </w:rPr>
        <w:t>年度部门预算项目支出绩效自评报告</w:t>
      </w:r>
    </w:p>
    <w:p w14:paraId="579EACCC">
      <w:pPr>
        <w:pStyle w:val="7"/>
        <w:spacing w:before="93" w:line="600" w:lineRule="exact"/>
        <w:ind w:firstLine="720"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（无线电管理经费）</w:t>
      </w:r>
    </w:p>
    <w:p w14:paraId="074D4BEA">
      <w:pPr>
        <w:pStyle w:val="7"/>
        <w:spacing w:before="93" w:line="600" w:lineRule="exact"/>
        <w:ind w:firstLine="640" w:firstLineChars="200"/>
        <w:jc w:val="left"/>
        <w:rPr>
          <w:rFonts w:ascii="仿宋_GB2312" w:hAnsi="仿宋_GB2312" w:eastAsia="仿宋_GB2312" w:cs="仿宋_GB2312"/>
          <w:sz w:val="32"/>
          <w:szCs w:val="32"/>
        </w:rPr>
      </w:pPr>
    </w:p>
    <w:p w14:paraId="14D5C5F9">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一、项目概况</w:t>
      </w:r>
    </w:p>
    <w:p w14:paraId="43B91A9D">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（一）项目基本情况。</w:t>
      </w:r>
    </w:p>
    <w:p w14:paraId="582FBCD6">
      <w:pPr>
        <w:autoSpaceDE w:val="0"/>
        <w:autoSpaceDN w:val="0"/>
        <w:adjustRightInd w:val="0"/>
        <w:spacing w:line="600" w:lineRule="exact"/>
        <w:ind w:firstLine="640" w:firstLineChars="200"/>
        <w:jc w:val="left"/>
        <w:rPr>
          <w:rFonts w:hint="eastAsia" w:eastAsia="仿宋_GB2312"/>
          <w:kern w:val="0"/>
          <w:sz w:val="32"/>
          <w:szCs w:val="32"/>
        </w:rPr>
      </w:pPr>
      <w:r>
        <w:rPr>
          <w:rFonts w:eastAsia="仿宋_GB2312"/>
          <w:kern w:val="0"/>
          <w:sz w:val="32"/>
          <w:szCs w:val="32"/>
        </w:rPr>
        <w:t>1．项目主管部门（单位）在该项目管理中的职能。</w:t>
      </w:r>
    </w:p>
    <w:p w14:paraId="527419C4">
      <w:pPr>
        <w:pStyle w:val="32"/>
        <w:spacing w:line="600" w:lineRule="exact"/>
        <w:ind w:firstLine="640" w:firstLineChars="200"/>
        <w:jc w:val="left"/>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攀枝花无线电监测站主要职能是进行电磁环境测试、分析，监测无线电台站；查找干扰源和未经批准使用的无线电台站；测定无线电设备的主要技术指标，</w:t>
      </w:r>
      <w:r>
        <w:rPr>
          <w:rFonts w:hint="eastAsia" w:ascii="Times New Roman" w:hAnsi="Times New Roman" w:eastAsia="仿宋_GB2312"/>
          <w:sz w:val="32"/>
          <w:szCs w:val="32"/>
        </w:rPr>
        <w:t>主管部门是经济和信息化局全面监督管理该经费使用。</w:t>
      </w:r>
    </w:p>
    <w:p w14:paraId="668CE0EE">
      <w:pPr>
        <w:autoSpaceDE w:val="0"/>
        <w:autoSpaceDN w:val="0"/>
        <w:adjustRightInd w:val="0"/>
        <w:spacing w:line="600" w:lineRule="exact"/>
        <w:ind w:firstLine="640" w:firstLineChars="200"/>
        <w:jc w:val="left"/>
        <w:rPr>
          <w:rFonts w:hint="eastAsia" w:eastAsia="仿宋_GB2312"/>
          <w:kern w:val="0"/>
          <w:sz w:val="32"/>
          <w:szCs w:val="32"/>
        </w:rPr>
      </w:pPr>
      <w:r>
        <w:rPr>
          <w:rFonts w:eastAsia="仿宋_GB2312"/>
          <w:kern w:val="0"/>
          <w:sz w:val="32"/>
          <w:szCs w:val="32"/>
        </w:rPr>
        <w:t>2．项目立项、资金申报的依据。</w:t>
      </w:r>
    </w:p>
    <w:p w14:paraId="6966532F">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无线电监测、检测网络设备设施运行维护，车辆、房屋维护；设备设施维修；网络及专线电路租用；各类考试无线电监测保障、航空专用频段保护性监测保障、铁路专用频段监测保障、重要频段监测保障、重要区域监测保障、重大活动及重要时段监测保障、“黑广播”和“伪基站”查处等专项保障。</w:t>
      </w:r>
    </w:p>
    <w:p w14:paraId="0CE0782F">
      <w:pPr>
        <w:autoSpaceDE w:val="0"/>
        <w:autoSpaceDN w:val="0"/>
        <w:adjustRightInd w:val="0"/>
        <w:spacing w:line="600" w:lineRule="exact"/>
        <w:ind w:firstLine="640" w:firstLineChars="200"/>
        <w:jc w:val="left"/>
        <w:rPr>
          <w:rFonts w:hint="eastAsia" w:eastAsia="仿宋_GB2312"/>
          <w:kern w:val="0"/>
          <w:sz w:val="32"/>
          <w:szCs w:val="32"/>
        </w:rPr>
      </w:pPr>
      <w:r>
        <w:rPr>
          <w:rFonts w:eastAsia="仿宋_GB2312"/>
          <w:kern w:val="0"/>
          <w:sz w:val="32"/>
          <w:szCs w:val="32"/>
        </w:rPr>
        <w:t>3．资金管理办法制定情况，资金支持具体项目的条件、范围与支持方式概况。</w:t>
      </w:r>
    </w:p>
    <w:p w14:paraId="3740825E">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按照局内控制度管理，制定了资金使用控制额度、范围、审批程序，资金使用过程公开透明，力求合理合规。</w:t>
      </w:r>
    </w:p>
    <w:p w14:paraId="4FDA3708">
      <w:pPr>
        <w:autoSpaceDE w:val="0"/>
        <w:autoSpaceDN w:val="0"/>
        <w:adjustRightInd w:val="0"/>
        <w:spacing w:line="600" w:lineRule="exact"/>
        <w:ind w:firstLine="640" w:firstLineChars="200"/>
        <w:jc w:val="left"/>
        <w:rPr>
          <w:rFonts w:hint="eastAsia" w:eastAsia="仿宋_GB2312"/>
          <w:kern w:val="0"/>
          <w:sz w:val="32"/>
          <w:szCs w:val="32"/>
        </w:rPr>
      </w:pPr>
      <w:r>
        <w:rPr>
          <w:rFonts w:eastAsia="仿宋_GB2312"/>
          <w:kern w:val="0"/>
          <w:sz w:val="32"/>
          <w:szCs w:val="32"/>
        </w:rPr>
        <w:t>4．资金分配的原则及考虑因素。</w:t>
      </w:r>
    </w:p>
    <w:p w14:paraId="348C5B60">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2021年</w:t>
      </w:r>
      <w:r>
        <w:rPr>
          <w:rFonts w:hint="eastAsia" w:eastAsia="仿宋_GB2312"/>
          <w:kern w:val="0"/>
          <w:sz w:val="32"/>
          <w:szCs w:val="32"/>
        </w:rPr>
        <w:t>无线电管理资金分配总体按照省拨经费细项安排，按照轻重缓急进行安排，局部调整履行 报告程序。</w:t>
      </w:r>
    </w:p>
    <w:p w14:paraId="5E2AB1E7">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（二）项目绩效目标。</w:t>
      </w:r>
    </w:p>
    <w:p w14:paraId="44798388">
      <w:pPr>
        <w:autoSpaceDE w:val="0"/>
        <w:autoSpaceDN w:val="0"/>
        <w:adjustRightInd w:val="0"/>
        <w:spacing w:line="600" w:lineRule="exact"/>
        <w:ind w:firstLine="640" w:firstLineChars="200"/>
        <w:jc w:val="left"/>
        <w:rPr>
          <w:rFonts w:eastAsia="仿宋_GB2312"/>
          <w:sz w:val="32"/>
          <w:szCs w:val="32"/>
          <w:shd w:val="clear" w:color="auto" w:fill="FFFFFF"/>
        </w:rPr>
      </w:pPr>
      <w:r>
        <w:rPr>
          <w:rFonts w:eastAsia="仿宋_GB2312"/>
          <w:kern w:val="0"/>
          <w:sz w:val="32"/>
          <w:szCs w:val="32"/>
        </w:rPr>
        <w:t>1．项目主要内容。</w:t>
      </w:r>
      <w:r>
        <w:rPr>
          <w:rFonts w:hint="eastAsia" w:eastAsia="仿宋_GB2312"/>
          <w:kern w:val="0"/>
          <w:sz w:val="32"/>
          <w:szCs w:val="32"/>
        </w:rPr>
        <w:t>完成2021年无线电设备设施运行维护；完成考试保障任务；无线电频率国际和国内协调；专业技术人员培训工作任务。</w:t>
      </w:r>
    </w:p>
    <w:p w14:paraId="36B69D29">
      <w:pPr>
        <w:spacing w:line="600" w:lineRule="exact"/>
        <w:rPr>
          <w:rFonts w:eastAsia="仿宋_GB2312"/>
          <w:sz w:val="32"/>
          <w:szCs w:val="32"/>
          <w:shd w:val="clear" w:color="auto" w:fill="FFFFFF"/>
        </w:rPr>
      </w:pPr>
      <w:r>
        <w:rPr>
          <w:rFonts w:eastAsia="仿宋_GB2312"/>
          <w:kern w:val="0"/>
          <w:sz w:val="32"/>
          <w:szCs w:val="32"/>
        </w:rPr>
        <w:t>2．项目应实现的具体绩效目标。</w:t>
      </w:r>
      <w:r>
        <w:rPr>
          <w:rFonts w:hint="eastAsia" w:eastAsia="仿宋_GB2312"/>
          <w:kern w:val="0"/>
          <w:sz w:val="32"/>
          <w:szCs w:val="32"/>
        </w:rPr>
        <w:t>对无线电基础设施和技术设施运行维护，以保障设备设施的正常运转；</w:t>
      </w:r>
      <w:r>
        <w:rPr>
          <w:rFonts w:hint="eastAsia" w:eastAsia="仿宋_GB2312"/>
          <w:sz w:val="32"/>
          <w:szCs w:val="32"/>
          <w:shd w:val="clear" w:color="auto" w:fill="FFFFFF"/>
        </w:rPr>
        <w:t>对全市主要无线电信号进行监测分析，查处黑广播、伪基站、保障航空通信安全；保障</w:t>
      </w:r>
      <w:r>
        <w:rPr>
          <w:rFonts w:hint="eastAsia" w:eastAsia="仿宋_GB2312"/>
          <w:kern w:val="0"/>
          <w:sz w:val="32"/>
          <w:szCs w:val="32"/>
        </w:rPr>
        <w:t>重大活动无线电信号安全。</w:t>
      </w:r>
    </w:p>
    <w:p w14:paraId="56CD2A7A">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3．申报内容是否与实际相符。2021年</w:t>
      </w:r>
      <w:r>
        <w:rPr>
          <w:rFonts w:hint="eastAsia" w:eastAsia="仿宋_GB2312"/>
          <w:kern w:val="0"/>
          <w:sz w:val="32"/>
          <w:szCs w:val="32"/>
        </w:rPr>
        <w:t>无线电管理</w:t>
      </w:r>
      <w:r>
        <w:rPr>
          <w:rFonts w:eastAsia="仿宋_GB2312"/>
          <w:kern w:val="0"/>
          <w:sz w:val="32"/>
          <w:szCs w:val="32"/>
        </w:rPr>
        <w:t>费</w:t>
      </w:r>
      <w:r>
        <w:rPr>
          <w:rFonts w:hint="eastAsia" w:eastAsia="仿宋_GB2312"/>
          <w:kern w:val="0"/>
          <w:sz w:val="32"/>
          <w:szCs w:val="32"/>
        </w:rPr>
        <w:t>用</w:t>
      </w:r>
      <w:r>
        <w:rPr>
          <w:rFonts w:eastAsia="仿宋_GB2312"/>
          <w:kern w:val="0"/>
          <w:sz w:val="32"/>
          <w:szCs w:val="32"/>
        </w:rPr>
        <w:t>申报目标与实际相符，申报目标合理可行。</w:t>
      </w:r>
    </w:p>
    <w:p w14:paraId="6109146E">
      <w:pPr>
        <w:autoSpaceDE w:val="0"/>
        <w:autoSpaceDN w:val="0"/>
        <w:adjustRightInd w:val="0"/>
        <w:spacing w:line="600" w:lineRule="exact"/>
        <w:ind w:firstLine="640" w:firstLineChars="200"/>
        <w:jc w:val="left"/>
        <w:rPr>
          <w:rFonts w:eastAsia="楷体_GB2312"/>
          <w:kern w:val="0"/>
          <w:sz w:val="32"/>
          <w:szCs w:val="32"/>
        </w:rPr>
      </w:pPr>
      <w:r>
        <w:rPr>
          <w:rFonts w:eastAsia="黑体"/>
          <w:kern w:val="0"/>
          <w:sz w:val="32"/>
          <w:szCs w:val="32"/>
        </w:rPr>
        <w:t>二、项目资金申报及使用情况</w:t>
      </w:r>
    </w:p>
    <w:p w14:paraId="281A3535">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14:paraId="2C179C01">
      <w:pPr>
        <w:autoSpaceDE w:val="0"/>
        <w:autoSpaceDN w:val="0"/>
        <w:adjustRightInd w:val="0"/>
        <w:spacing w:line="600" w:lineRule="exact"/>
        <w:ind w:firstLine="640" w:firstLineChars="200"/>
        <w:jc w:val="left"/>
        <w:rPr>
          <w:rFonts w:hint="eastAsia" w:eastAsia="仿宋_GB2312"/>
          <w:kern w:val="0"/>
          <w:sz w:val="32"/>
          <w:szCs w:val="32"/>
        </w:rPr>
      </w:pPr>
      <w:r>
        <w:rPr>
          <w:rFonts w:hint="eastAsia" w:eastAsia="仿宋_GB2312"/>
          <w:kern w:val="0"/>
          <w:sz w:val="32"/>
          <w:szCs w:val="32"/>
        </w:rPr>
        <w:t>攀枝花无线电监测站在市经信局领导下，根据我市无线电管理工作需要向省经信厅申报无线电管理经费，经费由省财政厅下达，市财政作专项下达。</w:t>
      </w:r>
    </w:p>
    <w:p w14:paraId="603378E0">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w:t>
      </w:r>
    </w:p>
    <w:p w14:paraId="4AE7FE78">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1．资金计划。</w:t>
      </w:r>
    </w:p>
    <w:p w14:paraId="5998832E">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监测站申请资金主要用于无线电监测设备设施维护、运行，部分设备设施维修，车辆维护、运行，月度监测、重大保障、干扰查处、考试保障、频率协调、业务培训、宣传等专项工作。资金计划56万元。</w:t>
      </w:r>
    </w:p>
    <w:p w14:paraId="4BCB503D">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2．资金到位。</w:t>
      </w:r>
    </w:p>
    <w:p w14:paraId="2D06CB7F">
      <w:pPr>
        <w:autoSpaceDE w:val="0"/>
        <w:autoSpaceDN w:val="0"/>
        <w:adjustRightInd w:val="0"/>
        <w:spacing w:line="600" w:lineRule="exact"/>
        <w:ind w:firstLine="640" w:firstLineChars="200"/>
        <w:jc w:val="left"/>
        <w:rPr>
          <w:rFonts w:hint="eastAsia" w:eastAsia="仿宋_GB2312"/>
          <w:kern w:val="0"/>
          <w:sz w:val="32"/>
          <w:szCs w:val="32"/>
        </w:rPr>
      </w:pPr>
      <w:r>
        <w:rPr>
          <w:rFonts w:hint="eastAsia" w:eastAsia="仿宋_GB2312"/>
          <w:kern w:val="0"/>
          <w:sz w:val="32"/>
          <w:szCs w:val="32"/>
        </w:rPr>
        <w:t>2021年批复项目支出预算16.01万元，实际到位资金16.01万元。</w:t>
      </w:r>
      <w:r>
        <w:rPr>
          <w:rFonts w:eastAsia="仿宋_GB2312"/>
          <w:kern w:val="0"/>
          <w:sz w:val="32"/>
          <w:szCs w:val="32"/>
        </w:rPr>
        <w:t>根据市财政审批</w:t>
      </w:r>
      <w:r>
        <w:rPr>
          <w:rFonts w:hint="eastAsia" w:eastAsia="仿宋_GB2312"/>
          <w:kern w:val="0"/>
          <w:sz w:val="32"/>
          <w:szCs w:val="32"/>
        </w:rPr>
        <w:t>金额</w:t>
      </w:r>
      <w:r>
        <w:rPr>
          <w:rFonts w:eastAsia="仿宋_GB2312"/>
          <w:kern w:val="0"/>
          <w:sz w:val="32"/>
          <w:szCs w:val="32"/>
        </w:rPr>
        <w:t>，</w:t>
      </w:r>
      <w:r>
        <w:rPr>
          <w:rFonts w:hint="eastAsia" w:eastAsia="仿宋_GB2312"/>
          <w:kern w:val="0"/>
          <w:sz w:val="32"/>
          <w:szCs w:val="32"/>
        </w:rPr>
        <w:t>无线电监管经</w:t>
      </w:r>
      <w:r>
        <w:rPr>
          <w:rFonts w:eastAsia="仿宋_GB2312"/>
          <w:kern w:val="0"/>
          <w:sz w:val="32"/>
          <w:szCs w:val="32"/>
        </w:rPr>
        <w:t>费到位率100%。</w:t>
      </w:r>
    </w:p>
    <w:p w14:paraId="281C153A">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3．资金使用。</w:t>
      </w:r>
    </w:p>
    <w:p w14:paraId="653A89A5">
      <w:pPr>
        <w:autoSpaceDE w:val="0"/>
        <w:autoSpaceDN w:val="0"/>
        <w:adjustRightInd w:val="0"/>
        <w:spacing w:line="600" w:lineRule="exact"/>
        <w:ind w:firstLine="640" w:firstLineChars="200"/>
        <w:jc w:val="left"/>
        <w:rPr>
          <w:rFonts w:hint="eastAsia" w:eastAsia="仿宋_GB2312"/>
          <w:kern w:val="0"/>
          <w:sz w:val="32"/>
          <w:szCs w:val="32"/>
        </w:rPr>
      </w:pPr>
      <w:r>
        <w:rPr>
          <w:rFonts w:hint="eastAsia" w:eastAsia="仿宋_GB2312"/>
          <w:kern w:val="0"/>
          <w:sz w:val="32"/>
          <w:szCs w:val="32"/>
        </w:rPr>
        <w:t>2021年无线电管理项目实际支出金额为16.01万元，其中：房屋运行维护支出6.77万元，车辆运行维护支出0.54万元，设备运行维护支出0.1万元，专项监管支出7.6万元，无线电专业技术人员培训1万元。2021年无线电管理经费严格按照项目资金管理办法对资金进行申请、使用，支付依据合法合规，支付金额与预算相符。</w:t>
      </w:r>
    </w:p>
    <w:p w14:paraId="58856E4F">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14:paraId="11E0A6C7">
      <w:pPr>
        <w:autoSpaceDE w:val="0"/>
        <w:autoSpaceDN w:val="0"/>
        <w:adjustRightInd w:val="0"/>
        <w:spacing w:line="600" w:lineRule="exact"/>
        <w:ind w:firstLine="640" w:firstLineChars="200"/>
        <w:jc w:val="left"/>
        <w:rPr>
          <w:rFonts w:hint="eastAsia" w:eastAsia="仿宋_GB2312"/>
          <w:kern w:val="0"/>
          <w:sz w:val="32"/>
          <w:szCs w:val="32"/>
        </w:rPr>
      </w:pPr>
      <w:r>
        <w:rPr>
          <w:rFonts w:hint="eastAsia" w:eastAsia="仿宋_GB2312"/>
          <w:kern w:val="0"/>
          <w:sz w:val="32"/>
          <w:szCs w:val="32"/>
        </w:rPr>
        <w:t>攀枝花无线电监测站财务管理制度健全，在资金使用管理上，我站一直按照国家财经法规和内部财务管理制度的规定开支，资金支付有完整的审批程序和手续，专项核算，专款专用，按计划使用资金，无挤占挪用或套取资金等行为。</w:t>
      </w:r>
    </w:p>
    <w:p w14:paraId="46009C70">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三、项目实施及管理情况</w:t>
      </w:r>
    </w:p>
    <w:p w14:paraId="0767766B">
      <w:pPr>
        <w:autoSpaceDE w:val="0"/>
        <w:autoSpaceDN w:val="0"/>
        <w:adjustRightInd w:val="0"/>
        <w:spacing w:line="600" w:lineRule="exact"/>
        <w:ind w:firstLine="640"/>
        <w:jc w:val="left"/>
        <w:rPr>
          <w:rFonts w:hint="eastAsia" w:eastAsia="楷体_GB2312"/>
          <w:kern w:val="0"/>
          <w:sz w:val="32"/>
          <w:szCs w:val="32"/>
        </w:rPr>
      </w:pPr>
      <w:r>
        <w:rPr>
          <w:rFonts w:eastAsia="楷体_GB2312"/>
          <w:kern w:val="0"/>
          <w:sz w:val="32"/>
          <w:szCs w:val="32"/>
        </w:rPr>
        <w:t>（一）项目组织架构及实施流程。</w:t>
      </w:r>
    </w:p>
    <w:p w14:paraId="6E799998">
      <w:pPr>
        <w:autoSpaceDE w:val="0"/>
        <w:autoSpaceDN w:val="0"/>
        <w:adjustRightInd w:val="0"/>
        <w:spacing w:line="600" w:lineRule="exact"/>
        <w:ind w:firstLine="640" w:firstLineChars="200"/>
        <w:jc w:val="left"/>
        <w:rPr>
          <w:rFonts w:hint="eastAsia" w:ascii="仿宋_GB2312" w:hAnsi="宋体" w:eastAsia="仿宋_GB2312"/>
          <w:kern w:val="0"/>
          <w:sz w:val="32"/>
          <w:szCs w:val="32"/>
        </w:rPr>
      </w:pPr>
      <w:r>
        <w:rPr>
          <w:rFonts w:hint="eastAsia" w:ascii="仿宋_GB2312" w:hAnsi="宋体" w:eastAsia="仿宋_GB2312"/>
          <w:kern w:val="0"/>
          <w:sz w:val="32"/>
          <w:szCs w:val="32"/>
        </w:rPr>
        <w:t>项目组织实施由攀枝花无线电监测站根据实际需要提出工作方案，在局内按照审批流程办理相关监督管理，监测站办理经费使用支付流程。</w:t>
      </w:r>
    </w:p>
    <w:p w14:paraId="3FDF110B">
      <w:pPr>
        <w:autoSpaceDE w:val="0"/>
        <w:autoSpaceDN w:val="0"/>
        <w:adjustRightInd w:val="0"/>
        <w:spacing w:line="600" w:lineRule="exact"/>
        <w:ind w:firstLine="640" w:firstLineChars="200"/>
        <w:jc w:val="left"/>
        <w:rPr>
          <w:rFonts w:hint="eastAsia" w:eastAsia="楷体_GB2312"/>
          <w:kern w:val="0"/>
          <w:sz w:val="32"/>
          <w:szCs w:val="32"/>
        </w:rPr>
      </w:pPr>
      <w:r>
        <w:rPr>
          <w:rFonts w:eastAsia="楷体_GB2312"/>
          <w:kern w:val="0"/>
          <w:sz w:val="32"/>
          <w:szCs w:val="32"/>
        </w:rPr>
        <w:t>（二）项目管理情况。</w:t>
      </w:r>
    </w:p>
    <w:p w14:paraId="0345D617">
      <w:pPr>
        <w:spacing w:line="600" w:lineRule="exact"/>
        <w:ind w:firstLine="480" w:firstLineChars="150"/>
        <w:rPr>
          <w:rFonts w:eastAsia="仿宋_GB2312"/>
          <w:sz w:val="32"/>
          <w:szCs w:val="32"/>
          <w:shd w:val="clear" w:color="auto" w:fill="FFFFFF"/>
        </w:rPr>
      </w:pPr>
      <w:r>
        <w:rPr>
          <w:rFonts w:hint="eastAsia" w:eastAsia="仿宋_GB2312"/>
          <w:kern w:val="0"/>
          <w:sz w:val="32"/>
          <w:szCs w:val="32"/>
        </w:rPr>
        <w:t>结合攀枝花无线电管理工作实际，提出经费项目，主要是用于运行维护、维修、车辆、专项工作经费等方面，省拨经费细化具体，经费使用在项目框架内实施。</w:t>
      </w:r>
      <w:r>
        <w:rPr>
          <w:rFonts w:hint="eastAsia" w:eastAsia="仿宋_GB2312"/>
          <w:sz w:val="32"/>
          <w:szCs w:val="32"/>
          <w:shd w:val="clear" w:color="auto" w:fill="FFFFFF"/>
        </w:rPr>
        <w:t>设备设施运行情况省站有相应监管，维护合同对内容、方式、实效、时效等作了明确规范，每月建立了考核工作制度。</w:t>
      </w:r>
    </w:p>
    <w:p w14:paraId="61F389F6">
      <w:pPr>
        <w:autoSpaceDE w:val="0"/>
        <w:autoSpaceDN w:val="0"/>
        <w:adjustRightInd w:val="0"/>
        <w:spacing w:line="600" w:lineRule="exact"/>
        <w:ind w:firstLine="640" w:firstLineChars="200"/>
        <w:jc w:val="left"/>
        <w:rPr>
          <w:rFonts w:hint="eastAsia" w:eastAsia="楷体_GB2312"/>
          <w:kern w:val="0"/>
          <w:sz w:val="32"/>
          <w:szCs w:val="32"/>
        </w:rPr>
      </w:pPr>
      <w:r>
        <w:rPr>
          <w:rFonts w:eastAsia="楷体_GB2312"/>
          <w:kern w:val="0"/>
          <w:sz w:val="32"/>
          <w:szCs w:val="32"/>
        </w:rPr>
        <w:t>（三）项目监管情况。</w:t>
      </w:r>
    </w:p>
    <w:p w14:paraId="1FD636E5">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工作方案由攀枝花无线电监测站提出申请，按照内控制度要求，相关工作项目审批程序按照经费额度1万元以上由局党组审批，1万元以内由局分管领导审批。执行有关采购管理规定，按照程序报批，过程向局纪检监察报备，攀枝花无线电监测站具体落实办理。局办公室作为内控制度执行牵头，对经费支付进行审核。</w:t>
      </w:r>
    </w:p>
    <w:p w14:paraId="51392976">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四、项目绩效情况</w:t>
      </w:r>
    </w:p>
    <w:p w14:paraId="6EAEEC2F">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（一）项目完成情况。</w:t>
      </w:r>
    </w:p>
    <w:p w14:paraId="33DDB12D">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按照我市无线电管理工作需要，无线电技术管理设备设施运行维护正常进行，维修及时完成，经费支付按照批复项目实施，经费控制进行参考和比较立足于实事求是，不无中生有，不脱离实际。</w:t>
      </w:r>
    </w:p>
    <w:p w14:paraId="2276A874">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（二）项目效益情况。</w:t>
      </w:r>
    </w:p>
    <w:p w14:paraId="554D1ADF">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我市无线电技术管理设备设施在我市无线电管理工作中起到了非常重要的作用，排查黑广播、伪基站，协助打击了网络诈骗犯罪行为，共同维护社会稳定；查处无线电干扰，维护保障重要无线网络，共同促进疫情防控期间 复工复产，维护保障铁路、航空、水上等重要无线电业务的安全生产；参与各类考试保障，防范、打击利用无线电手段作弊行为，保障考试公平，维护社会稳定。</w:t>
      </w:r>
    </w:p>
    <w:p w14:paraId="3ACF03DA">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五、评价结论及建议</w:t>
      </w:r>
    </w:p>
    <w:p w14:paraId="7FEED9AB">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（一）评价结论。</w:t>
      </w:r>
    </w:p>
    <w:p w14:paraId="6A078C03">
      <w:pPr>
        <w:autoSpaceDE w:val="0"/>
        <w:autoSpaceDN w:val="0"/>
        <w:adjustRightInd w:val="0"/>
        <w:spacing w:line="600" w:lineRule="exact"/>
        <w:ind w:firstLine="640" w:firstLineChars="200"/>
        <w:jc w:val="left"/>
        <w:rPr>
          <w:rFonts w:hint="eastAsia" w:eastAsia="仿宋_GB2312"/>
          <w:kern w:val="0"/>
          <w:sz w:val="32"/>
          <w:szCs w:val="32"/>
        </w:rPr>
      </w:pPr>
      <w:r>
        <w:rPr>
          <w:rFonts w:hint="eastAsia" w:eastAsia="仿宋_GB2312"/>
          <w:kern w:val="0"/>
          <w:sz w:val="32"/>
          <w:szCs w:val="32"/>
        </w:rPr>
        <w:t>项目实施根据工作需要展开，工作方案按照内控制度要求进行审核审批，方案实施公开透明，结果保证无线电监管工作需要。</w:t>
      </w:r>
      <w:r>
        <w:rPr>
          <w:rFonts w:eastAsia="仿宋_GB2312"/>
          <w:kern w:val="0"/>
          <w:sz w:val="32"/>
          <w:szCs w:val="32"/>
        </w:rPr>
        <w:t>项目决策、项目管理、项目绩效三个方面均完成较好。</w:t>
      </w:r>
    </w:p>
    <w:p w14:paraId="0D0CF58D">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（二）存在的问题。</w:t>
      </w:r>
    </w:p>
    <w:p w14:paraId="1031ECAD">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无</w:t>
      </w:r>
      <w:r>
        <w:rPr>
          <w:rFonts w:eastAsia="仿宋_GB2312"/>
          <w:kern w:val="0"/>
          <w:sz w:val="32"/>
          <w:szCs w:val="32"/>
        </w:rPr>
        <w:t>。</w:t>
      </w:r>
    </w:p>
    <w:p w14:paraId="794F3929">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（三）相关建议。</w:t>
      </w:r>
    </w:p>
    <w:p w14:paraId="74E2F39A">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无</w:t>
      </w:r>
      <w:r>
        <w:rPr>
          <w:rFonts w:eastAsia="仿宋_GB2312"/>
          <w:kern w:val="0"/>
          <w:sz w:val="32"/>
          <w:szCs w:val="32"/>
        </w:rPr>
        <w:t>。</w:t>
      </w:r>
    </w:p>
    <w:p w14:paraId="00CD3350">
      <w:pPr>
        <w:pStyle w:val="7"/>
        <w:spacing w:before="93" w:line="600" w:lineRule="exact"/>
        <w:ind w:firstLine="640" w:firstLineChars="200"/>
        <w:jc w:val="left"/>
        <w:rPr>
          <w:rFonts w:ascii="黑体" w:hAnsi="黑体" w:eastAsia="黑体" w:cs="仿宋_GB2312"/>
          <w:sz w:val="32"/>
          <w:szCs w:val="32"/>
        </w:rPr>
      </w:pPr>
    </w:p>
    <w:p w14:paraId="3F87FD5B">
      <w:pPr>
        <w:pStyle w:val="2"/>
        <w:spacing w:before="93"/>
        <w:rPr>
          <w:rFonts w:hint="eastAsia"/>
          <w:lang w:val="zh-CN"/>
        </w:rPr>
      </w:pPr>
    </w:p>
    <w:p w14:paraId="3900D788">
      <w:pPr>
        <w:pStyle w:val="2"/>
        <w:spacing w:before="93"/>
        <w:rPr>
          <w:rFonts w:hint="eastAsia"/>
          <w:lang w:val="zh-CN"/>
        </w:rPr>
      </w:pPr>
    </w:p>
    <w:p w14:paraId="264D3CB9">
      <w:pPr>
        <w:pStyle w:val="2"/>
        <w:spacing w:before="93"/>
        <w:rPr>
          <w:rFonts w:hint="eastAsia"/>
          <w:lang w:val="zh-CN"/>
        </w:rPr>
      </w:pPr>
    </w:p>
    <w:p w14:paraId="2DE9BA51">
      <w:pPr>
        <w:pStyle w:val="2"/>
        <w:spacing w:before="93"/>
        <w:rPr>
          <w:rFonts w:hint="eastAsia"/>
          <w:lang w:val="zh-CN"/>
        </w:rPr>
      </w:pPr>
    </w:p>
    <w:p w14:paraId="6C82DADE">
      <w:pPr>
        <w:pStyle w:val="2"/>
        <w:spacing w:before="93"/>
        <w:rPr>
          <w:rFonts w:hint="eastAsia"/>
          <w:lang w:val="zh-CN"/>
        </w:rPr>
      </w:pPr>
    </w:p>
    <w:p w14:paraId="1F6376A1">
      <w:pPr>
        <w:pStyle w:val="2"/>
        <w:spacing w:before="93"/>
        <w:rPr>
          <w:rFonts w:hint="eastAsia"/>
          <w:lang w:val="zh-CN"/>
        </w:rPr>
      </w:pPr>
    </w:p>
    <w:p w14:paraId="44D7FB73">
      <w:pPr>
        <w:widowControl/>
        <w:adjustRightInd w:val="0"/>
        <w:snapToGrid w:val="0"/>
        <w:spacing w:line="580" w:lineRule="exact"/>
        <w:ind w:firstLine="640" w:firstLineChars="200"/>
        <w:contextualSpacing/>
        <w:jc w:val="left"/>
        <w:rPr>
          <w:rFonts w:hint="eastAsia" w:eastAsia="仿宋_GB2312"/>
          <w:kern w:val="0"/>
          <w:sz w:val="32"/>
          <w:szCs w:val="32"/>
          <w:shd w:val="clear" w:color="auto" w:fill="FFFFFF"/>
          <w:lang w:val="zh-CN"/>
        </w:rPr>
      </w:pPr>
    </w:p>
    <w:p w14:paraId="6710D09A">
      <w:pPr>
        <w:widowControl/>
        <w:adjustRightInd w:val="0"/>
        <w:snapToGrid w:val="0"/>
        <w:spacing w:line="580" w:lineRule="exact"/>
        <w:ind w:firstLine="640" w:firstLineChars="200"/>
        <w:contextualSpacing/>
        <w:jc w:val="left"/>
        <w:rPr>
          <w:rFonts w:hint="eastAsia" w:eastAsia="仿宋_GB2312"/>
          <w:kern w:val="0"/>
          <w:sz w:val="32"/>
          <w:szCs w:val="32"/>
          <w:shd w:val="clear" w:color="auto" w:fill="FFFFFF"/>
          <w:lang w:val="zh-CN"/>
        </w:rPr>
      </w:pPr>
    </w:p>
    <w:p w14:paraId="64A0FB5F">
      <w:pPr>
        <w:pStyle w:val="7"/>
        <w:spacing w:before="93" w:line="600" w:lineRule="exact"/>
        <w:ind w:firstLine="720" w:firstLineChars="200"/>
        <w:jc w:val="center"/>
        <w:rPr>
          <w:rFonts w:ascii="Times New Roman" w:hAnsi="Times New Roman" w:eastAsia="方正小标宋_GBK"/>
          <w:sz w:val="36"/>
          <w:szCs w:val="36"/>
        </w:rPr>
      </w:pPr>
      <w:r>
        <w:rPr>
          <w:rFonts w:ascii="Times New Roman" w:hAnsi="Times New Roman" w:eastAsia="方正小标宋_GBK"/>
          <w:sz w:val="36"/>
          <w:szCs w:val="36"/>
        </w:rPr>
        <w:t>攀枝花市经济和信息化局</w:t>
      </w:r>
    </w:p>
    <w:p w14:paraId="53802D3C">
      <w:pPr>
        <w:pStyle w:val="7"/>
        <w:spacing w:before="93" w:line="600" w:lineRule="exact"/>
        <w:ind w:firstLine="720" w:firstLineChars="200"/>
        <w:jc w:val="center"/>
        <w:rPr>
          <w:rFonts w:ascii="Times New Roman" w:hAnsi="Times New Roman" w:eastAsia="方正小标宋_GBK"/>
          <w:sz w:val="36"/>
          <w:szCs w:val="36"/>
        </w:rPr>
      </w:pPr>
      <w:r>
        <w:rPr>
          <w:rFonts w:ascii="Times New Roman" w:hAnsi="Times New Roman" w:eastAsia="方正小标宋_GBK"/>
          <w:sz w:val="36"/>
          <w:szCs w:val="36"/>
        </w:rPr>
        <w:t>2021年度部门预算项目支出绩效自评报告</w:t>
      </w:r>
    </w:p>
    <w:p w14:paraId="29640758">
      <w:pPr>
        <w:pStyle w:val="7"/>
        <w:spacing w:before="93" w:line="600" w:lineRule="exact"/>
        <w:ind w:firstLine="720" w:firstLineChars="200"/>
        <w:jc w:val="center"/>
        <w:rPr>
          <w:rFonts w:ascii="Times New Roman" w:hAnsi="Times New Roman" w:eastAsia="方正小标宋_GBK"/>
          <w:sz w:val="36"/>
          <w:szCs w:val="36"/>
        </w:rPr>
      </w:pPr>
      <w:r>
        <w:rPr>
          <w:rFonts w:ascii="Times New Roman" w:hAnsi="Times New Roman" w:eastAsia="方正小标宋_GBK"/>
          <w:sz w:val="36"/>
          <w:szCs w:val="36"/>
        </w:rPr>
        <w:t>（技改前期工作经费）</w:t>
      </w:r>
    </w:p>
    <w:p w14:paraId="4ADA2622">
      <w:pPr>
        <w:pStyle w:val="7"/>
        <w:spacing w:before="93" w:line="600" w:lineRule="exact"/>
        <w:ind w:firstLine="640" w:firstLineChars="200"/>
        <w:jc w:val="left"/>
        <w:rPr>
          <w:rFonts w:ascii="Times New Roman" w:hAnsi="Times New Roman" w:eastAsia="仿宋_GB2312"/>
          <w:sz w:val="32"/>
          <w:szCs w:val="32"/>
        </w:rPr>
      </w:pPr>
    </w:p>
    <w:p w14:paraId="780FD52D">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一、项目概况</w:t>
      </w:r>
    </w:p>
    <w:p w14:paraId="642B58B7">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（一）项目基本情况。</w:t>
      </w:r>
    </w:p>
    <w:p w14:paraId="11125ED9">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项目主管部门职能职责。攀枝花市经济和信息化局作为行业只管部门负责指导攀枝花市企业技术创新和技术进步，组织实施国家、省和市有关重大技术攻关项目；推动企业技术创新能力建设；推进行业技术规范、行业标准，指导企业标准化工作。</w:t>
      </w:r>
    </w:p>
    <w:p w14:paraId="037EFDDA">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2．资金申报的依据。根据四川省经济和信息化厅《关于做好2021年第一批省级工业发展专项资金使用相关工作的通知》（川经信财资</w:t>
      </w:r>
      <w:r>
        <w:rPr>
          <w:rFonts w:hAnsi="宋体"/>
          <w:kern w:val="0"/>
          <w:sz w:val="32"/>
          <w:szCs w:val="32"/>
        </w:rPr>
        <w:t>﹝</w:t>
      </w:r>
      <w:r>
        <w:rPr>
          <w:rFonts w:eastAsia="仿宋_GB2312"/>
          <w:kern w:val="0"/>
          <w:sz w:val="32"/>
          <w:szCs w:val="32"/>
        </w:rPr>
        <w:t>2021</w:t>
      </w:r>
      <w:r>
        <w:rPr>
          <w:rFonts w:hAnsi="宋体"/>
          <w:kern w:val="0"/>
          <w:sz w:val="32"/>
          <w:szCs w:val="32"/>
        </w:rPr>
        <w:t>﹞</w:t>
      </w:r>
      <w:r>
        <w:rPr>
          <w:rFonts w:eastAsia="仿宋_GB2312"/>
          <w:kern w:val="0"/>
          <w:sz w:val="32"/>
          <w:szCs w:val="32"/>
        </w:rPr>
        <w:t>147号）文件精神。</w:t>
      </w:r>
    </w:p>
    <w:p w14:paraId="4FDDD41F">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3．财务管理制度健全，该项总控主要用于我市技术改造前期工作经费用于开展产业诊断、项目生成、夯实技术改造前期工作，推进项目建设、加强项目管理、开展业务培训等。</w:t>
      </w:r>
    </w:p>
    <w:p w14:paraId="0D8982BE">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4．资金分配的原则及考虑因素。技术改造前期工作经费分配坚持“公平、效率、控制力”的原则，根据项目重要性、紧急程度、需求情况等因素进行分配，同时不改变主管部门对财政专项资金的分配权、管理权。</w:t>
      </w:r>
    </w:p>
    <w:p w14:paraId="5AA17D31">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（二）项目绩效目标。</w:t>
      </w:r>
    </w:p>
    <w:p w14:paraId="391A43EF">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1．项目主要内容。技术改造前期工作经费主要用于协助推进产业技术创新、项目生成实施、统筹规划和协调管理。</w:t>
      </w:r>
    </w:p>
    <w:p w14:paraId="08B45861">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2．项目应实现的具体绩效目标。技术改造前期工作经费用于开展产业诊断、项目生成、夯实技术改造前期工作，推进项目建设、加强项目管理、开展业务培训等。</w:t>
      </w:r>
    </w:p>
    <w:p w14:paraId="30280B12">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3．申报内容是否与实际相符。2021年技术改造前期工作经费申报目标与实际相符，申报目标合理可行。</w:t>
      </w:r>
    </w:p>
    <w:p w14:paraId="0B50A486">
      <w:pPr>
        <w:autoSpaceDE w:val="0"/>
        <w:autoSpaceDN w:val="0"/>
        <w:adjustRightInd w:val="0"/>
        <w:spacing w:line="600" w:lineRule="exact"/>
        <w:ind w:firstLine="640" w:firstLineChars="200"/>
        <w:jc w:val="left"/>
        <w:rPr>
          <w:rFonts w:eastAsia="楷体_GB2312"/>
          <w:kern w:val="0"/>
          <w:sz w:val="32"/>
          <w:szCs w:val="32"/>
        </w:rPr>
      </w:pPr>
      <w:r>
        <w:rPr>
          <w:rFonts w:eastAsia="黑体"/>
          <w:kern w:val="0"/>
          <w:sz w:val="32"/>
          <w:szCs w:val="32"/>
        </w:rPr>
        <w:t>二、项目资金申报及使用情况</w:t>
      </w:r>
    </w:p>
    <w:p w14:paraId="1A5D1DD7">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14:paraId="163E243A">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按照《关于下达2020年第一批省级工业发展资金和中小企业发展专项资金的通知》（川财建〔2020〕35号）文件管理和使用好省级技术改造前期工作经费。</w:t>
      </w:r>
    </w:p>
    <w:p w14:paraId="5273F2BB">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w:t>
      </w:r>
    </w:p>
    <w:p w14:paraId="45C06830">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1．资金计划。</w:t>
      </w:r>
    </w:p>
    <w:p w14:paraId="5BABD5C7">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2020年结转结余37万元，均为省级资金，资金主要用于项目储备、产业诊断、项目生成等技改前期工作。</w:t>
      </w:r>
    </w:p>
    <w:p w14:paraId="6D905ED6">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2．资金到位。</w:t>
      </w:r>
    </w:p>
    <w:p w14:paraId="22C02C79">
      <w:pPr>
        <w:autoSpaceDE w:val="0"/>
        <w:autoSpaceDN w:val="0"/>
        <w:adjustRightInd w:val="0"/>
        <w:spacing w:line="600" w:lineRule="exact"/>
        <w:ind w:firstLine="640" w:firstLineChars="200"/>
        <w:jc w:val="left"/>
        <w:rPr>
          <w:rFonts w:eastAsia="仿宋_GB2312"/>
          <w:kern w:val="0"/>
          <w:sz w:val="32"/>
          <w:szCs w:val="32"/>
        </w:rPr>
      </w:pPr>
      <w:r>
        <w:rPr>
          <w:rFonts w:eastAsia="楷体_GB2312"/>
          <w:kern w:val="0"/>
          <w:sz w:val="32"/>
          <w:szCs w:val="32"/>
        </w:rPr>
        <w:t>2</w:t>
      </w:r>
      <w:r>
        <w:rPr>
          <w:rFonts w:eastAsia="仿宋_GB2312"/>
          <w:kern w:val="0"/>
          <w:sz w:val="32"/>
          <w:szCs w:val="32"/>
        </w:rPr>
        <w:t>021年总到位资金37万，全部为2020年结转结余资金。</w:t>
      </w:r>
    </w:p>
    <w:p w14:paraId="1948640D">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3．资金使用。</w:t>
      </w:r>
    </w:p>
    <w:p w14:paraId="3E9790AC">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2021年技改前期工作经费支出37万元，资金支付范围、支付标准、支付进度、支付依据等合规合法、与预算相符。</w:t>
      </w:r>
    </w:p>
    <w:p w14:paraId="46163406">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14:paraId="72A91641">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财务管理制度健全，严格执行财务管理制度，账务处理及时，会计核算规范。</w:t>
      </w:r>
    </w:p>
    <w:p w14:paraId="66AEA1B8">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三、项目实施及管理情况</w:t>
      </w:r>
    </w:p>
    <w:p w14:paraId="7B54E938">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（一）项目组织架构及实施流程。</w:t>
      </w:r>
      <w:r>
        <w:rPr>
          <w:rFonts w:eastAsia="仿宋_GB2312"/>
          <w:kern w:val="0"/>
          <w:sz w:val="32"/>
          <w:szCs w:val="32"/>
        </w:rPr>
        <w:t>无。</w:t>
      </w:r>
    </w:p>
    <w:p w14:paraId="5D8CF481">
      <w:pPr>
        <w:autoSpaceDE w:val="0"/>
        <w:autoSpaceDN w:val="0"/>
        <w:adjustRightInd w:val="0"/>
        <w:spacing w:line="600" w:lineRule="exact"/>
        <w:ind w:firstLine="640" w:firstLineChars="200"/>
        <w:jc w:val="left"/>
        <w:rPr>
          <w:rFonts w:eastAsia="仿宋_GB2312"/>
          <w:kern w:val="0"/>
          <w:sz w:val="32"/>
          <w:szCs w:val="32"/>
        </w:rPr>
      </w:pPr>
      <w:r>
        <w:rPr>
          <w:rFonts w:eastAsia="楷体_GB2312"/>
          <w:kern w:val="0"/>
          <w:sz w:val="32"/>
          <w:szCs w:val="32"/>
        </w:rPr>
        <w:t>（二）项目管理情况。</w:t>
      </w:r>
      <w:r>
        <w:rPr>
          <w:rFonts w:eastAsia="仿宋_GB2312"/>
          <w:kern w:val="0"/>
          <w:sz w:val="32"/>
          <w:szCs w:val="32"/>
        </w:rPr>
        <w:t>严格执行相关法律法规及项目管理制度，严格按照单位财务管理制度执行资金支付。</w:t>
      </w:r>
    </w:p>
    <w:p w14:paraId="31A8B71A">
      <w:pPr>
        <w:autoSpaceDE w:val="0"/>
        <w:autoSpaceDN w:val="0"/>
        <w:adjustRightInd w:val="0"/>
        <w:spacing w:line="600" w:lineRule="exact"/>
        <w:ind w:firstLine="640" w:firstLineChars="200"/>
        <w:jc w:val="left"/>
        <w:rPr>
          <w:rFonts w:eastAsia="仿宋_GB2312"/>
          <w:sz w:val="32"/>
          <w:szCs w:val="32"/>
        </w:rPr>
      </w:pPr>
      <w:r>
        <w:rPr>
          <w:rFonts w:eastAsia="楷体_GB2312"/>
          <w:kern w:val="0"/>
          <w:sz w:val="32"/>
          <w:szCs w:val="32"/>
        </w:rPr>
        <w:t>（三）项目监管情况。</w:t>
      </w:r>
      <w:r>
        <w:rPr>
          <w:rFonts w:eastAsia="仿宋_GB2312"/>
          <w:sz w:val="32"/>
          <w:szCs w:val="32"/>
        </w:rPr>
        <w:t>严格执行项目监管要求，规范省级财政资金管理，提高资金使用效益，做好项目前期论证和前期手续协调办理工作。</w:t>
      </w:r>
    </w:p>
    <w:p w14:paraId="25755A44">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四、项目绩效情况</w:t>
      </w:r>
    </w:p>
    <w:p w14:paraId="461BF29D">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（一）项目完成情况。</w:t>
      </w:r>
    </w:p>
    <w:p w14:paraId="0B91417E">
      <w:pPr>
        <w:autoSpaceDE w:val="0"/>
        <w:autoSpaceDN w:val="0"/>
        <w:adjustRightInd w:val="0"/>
        <w:spacing w:line="600" w:lineRule="exact"/>
        <w:ind w:firstLine="640" w:firstLineChars="200"/>
        <w:jc w:val="left"/>
        <w:rPr>
          <w:rFonts w:eastAsia="仿宋_GB2312"/>
          <w:kern w:val="0"/>
          <w:sz w:val="32"/>
          <w:szCs w:val="32"/>
        </w:rPr>
      </w:pPr>
      <w:r>
        <w:rPr>
          <w:rFonts w:eastAsia="楷体_GB2312"/>
          <w:kern w:val="0"/>
          <w:sz w:val="32"/>
          <w:szCs w:val="32"/>
        </w:rPr>
        <w:t>2</w:t>
      </w:r>
      <w:r>
        <w:rPr>
          <w:rFonts w:eastAsia="仿宋_GB2312"/>
          <w:kern w:val="0"/>
          <w:sz w:val="32"/>
          <w:szCs w:val="32"/>
        </w:rPr>
        <w:t>021年完成市委、市政府下达的工业招商引资、产业诊断、项目前期论证和项目前期手续协调办理等工作目标。工业“两项”投资保持较好水平，工业投资、技改投资分别增长16.8%、22.9%，分别排名全省第11位和第4位，积极推进全市技改工作更好更快发展。</w:t>
      </w:r>
    </w:p>
    <w:p w14:paraId="6BBD9B46">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（二）项目效益情况。</w:t>
      </w:r>
    </w:p>
    <w:p w14:paraId="15B212DB">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提高工业项目管理水平、促进工业招商、项目落地，更扎实推进项目工作，对我市提高资源利用水平、提升环境质量、安全生产等方面均有积极促进作用，充分发挥省级财政资金引导作用，促进我市经济发展。项目经济效益、社会效益、生态效益、可持续效益以及服务对象满意度等均达预期目标。</w:t>
      </w:r>
    </w:p>
    <w:p w14:paraId="22E7CDCC">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五、评价结论及建议</w:t>
      </w:r>
    </w:p>
    <w:p w14:paraId="1676524D">
      <w:pPr>
        <w:numPr>
          <w:ilvl w:val="0"/>
          <w:numId w:val="7"/>
        </w:numPr>
        <w:autoSpaceDE w:val="0"/>
        <w:autoSpaceDN w:val="0"/>
        <w:adjustRightInd w:val="0"/>
        <w:spacing w:line="600" w:lineRule="exact"/>
        <w:jc w:val="left"/>
        <w:rPr>
          <w:rFonts w:eastAsia="楷体_GB2312"/>
          <w:kern w:val="0"/>
          <w:sz w:val="32"/>
          <w:szCs w:val="32"/>
        </w:rPr>
      </w:pPr>
      <w:r>
        <w:rPr>
          <w:rFonts w:eastAsia="楷体_GB2312"/>
          <w:kern w:val="0"/>
          <w:sz w:val="32"/>
          <w:szCs w:val="32"/>
        </w:rPr>
        <w:t>评价结论。</w:t>
      </w:r>
    </w:p>
    <w:p w14:paraId="3D8F5358">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2021年项目的产出指 标、效益指标、满意度指标均全面完成。项目决策、项目管理、项目绩效三个方面均完成较好。</w:t>
      </w:r>
    </w:p>
    <w:p w14:paraId="3A3DBB39">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（二）存在的问题。</w:t>
      </w:r>
    </w:p>
    <w:p w14:paraId="3EBD136B">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资金计划制定不够细致，资金使用进度跟进工作仍需加强。</w:t>
      </w:r>
    </w:p>
    <w:p w14:paraId="50758C36">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（三）相关建议。</w:t>
      </w:r>
    </w:p>
    <w:p w14:paraId="0F9BB9B8">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无。</w:t>
      </w:r>
    </w:p>
    <w:p w14:paraId="6A51CCB3">
      <w:pPr>
        <w:pStyle w:val="7"/>
        <w:spacing w:before="93" w:line="600" w:lineRule="exact"/>
        <w:ind w:firstLine="640" w:firstLineChars="200"/>
        <w:jc w:val="left"/>
        <w:rPr>
          <w:rFonts w:ascii="Times New Roman" w:hAnsi="Times New Roman" w:eastAsia="黑体"/>
          <w:sz w:val="32"/>
          <w:szCs w:val="32"/>
        </w:rPr>
      </w:pPr>
    </w:p>
    <w:p w14:paraId="351A3D68">
      <w:pPr>
        <w:widowControl/>
        <w:adjustRightInd w:val="0"/>
        <w:snapToGrid w:val="0"/>
        <w:spacing w:line="580" w:lineRule="exact"/>
        <w:ind w:firstLine="640" w:firstLineChars="200"/>
        <w:contextualSpacing/>
        <w:jc w:val="left"/>
        <w:rPr>
          <w:rFonts w:hint="eastAsia" w:eastAsia="仿宋_GB2312"/>
          <w:kern w:val="0"/>
          <w:sz w:val="32"/>
          <w:szCs w:val="32"/>
          <w:shd w:val="clear" w:color="auto" w:fill="FFFFFF"/>
          <w:lang w:val="zh-CN"/>
        </w:rPr>
      </w:pPr>
    </w:p>
    <w:p w14:paraId="020908A6">
      <w:pPr>
        <w:pStyle w:val="2"/>
        <w:spacing w:before="93"/>
        <w:rPr>
          <w:rFonts w:hint="eastAsia"/>
          <w:lang w:val="zh-CN"/>
        </w:rPr>
      </w:pPr>
    </w:p>
    <w:p w14:paraId="0B631193">
      <w:pPr>
        <w:pStyle w:val="2"/>
        <w:spacing w:before="93"/>
        <w:rPr>
          <w:rFonts w:hint="eastAsia"/>
          <w:lang w:val="zh-CN"/>
        </w:rPr>
      </w:pPr>
    </w:p>
    <w:p w14:paraId="59E8A2B8">
      <w:pPr>
        <w:pStyle w:val="2"/>
        <w:spacing w:before="93"/>
        <w:rPr>
          <w:rFonts w:hint="eastAsia"/>
          <w:lang w:val="zh-CN"/>
        </w:rPr>
      </w:pPr>
    </w:p>
    <w:p w14:paraId="1102F9D7">
      <w:pPr>
        <w:pStyle w:val="2"/>
        <w:spacing w:before="93"/>
        <w:rPr>
          <w:rFonts w:hint="eastAsia"/>
          <w:lang w:val="zh-CN"/>
        </w:rPr>
      </w:pPr>
    </w:p>
    <w:p w14:paraId="602DCDDC">
      <w:pPr>
        <w:pStyle w:val="2"/>
        <w:spacing w:before="93"/>
        <w:rPr>
          <w:rFonts w:hint="eastAsia"/>
          <w:lang w:val="zh-CN"/>
        </w:rPr>
      </w:pPr>
    </w:p>
    <w:p w14:paraId="2C94A1A3">
      <w:pPr>
        <w:pStyle w:val="2"/>
        <w:spacing w:before="93"/>
        <w:rPr>
          <w:rFonts w:hint="eastAsia"/>
          <w:lang w:val="zh-CN"/>
        </w:rPr>
      </w:pPr>
    </w:p>
    <w:p w14:paraId="061D4AA9">
      <w:pPr>
        <w:pStyle w:val="2"/>
        <w:spacing w:before="93"/>
        <w:rPr>
          <w:rFonts w:hint="eastAsia"/>
          <w:lang w:val="zh-CN"/>
        </w:rPr>
      </w:pPr>
    </w:p>
    <w:p w14:paraId="70C37434">
      <w:pPr>
        <w:pStyle w:val="2"/>
        <w:spacing w:before="93"/>
        <w:rPr>
          <w:rFonts w:hint="eastAsia"/>
          <w:lang w:val="zh-CN"/>
        </w:rPr>
      </w:pPr>
    </w:p>
    <w:p w14:paraId="32FF7F70">
      <w:pPr>
        <w:pStyle w:val="2"/>
        <w:spacing w:before="93"/>
        <w:rPr>
          <w:rFonts w:hint="eastAsia"/>
          <w:lang w:val="zh-CN"/>
        </w:rPr>
      </w:pPr>
    </w:p>
    <w:p w14:paraId="798C1787">
      <w:pPr>
        <w:pStyle w:val="7"/>
        <w:spacing w:before="93" w:line="600" w:lineRule="exact"/>
        <w:jc w:val="left"/>
        <w:rPr>
          <w:rFonts w:hint="eastAsia" w:ascii="仿宋_GB2312" w:hAnsi="黑体" w:eastAsia="仿宋_GB2312" w:cs="黑体"/>
          <w:sz w:val="32"/>
          <w:szCs w:val="32"/>
        </w:rPr>
      </w:pPr>
    </w:p>
    <w:p w14:paraId="353F8568">
      <w:pPr>
        <w:pStyle w:val="7"/>
        <w:spacing w:before="93" w:line="600" w:lineRule="exact"/>
        <w:ind w:firstLine="720"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攀枝花市经济和信息化局</w:t>
      </w:r>
    </w:p>
    <w:p w14:paraId="57B8ADD2">
      <w:pPr>
        <w:pStyle w:val="7"/>
        <w:spacing w:before="93" w:line="600" w:lineRule="exact"/>
        <w:ind w:firstLine="720"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2021年度部门预算项目支出绩效自评报告</w:t>
      </w:r>
    </w:p>
    <w:p w14:paraId="4AFED8C6">
      <w:pPr>
        <w:pStyle w:val="7"/>
        <w:spacing w:before="93" w:line="600" w:lineRule="exact"/>
        <w:ind w:firstLine="720"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rPr>
        <w:t>（工业招商引资）</w:t>
      </w:r>
    </w:p>
    <w:p w14:paraId="164B4143">
      <w:pPr>
        <w:pStyle w:val="7"/>
        <w:spacing w:before="93" w:line="600" w:lineRule="exact"/>
        <w:ind w:firstLine="640" w:firstLineChars="200"/>
        <w:jc w:val="left"/>
        <w:rPr>
          <w:rFonts w:ascii="仿宋_GB2312" w:hAnsi="仿宋_GB2312" w:eastAsia="仿宋_GB2312" w:cs="仿宋_GB2312"/>
          <w:sz w:val="32"/>
          <w:szCs w:val="32"/>
        </w:rPr>
      </w:pPr>
    </w:p>
    <w:p w14:paraId="6E4D0AC8">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一、项目概况</w:t>
      </w:r>
    </w:p>
    <w:p w14:paraId="57A1E6D4">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（一）项目基本情况。</w:t>
      </w:r>
    </w:p>
    <w:p w14:paraId="1B283C98">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1．项目主管部门（单位）在该项目管理中的职能。</w:t>
      </w:r>
    </w:p>
    <w:p w14:paraId="4735E44E">
      <w:pPr>
        <w:autoSpaceDE w:val="0"/>
        <w:autoSpaceDN w:val="0"/>
        <w:adjustRightInd w:val="0"/>
        <w:spacing w:line="600" w:lineRule="exact"/>
        <w:ind w:firstLine="640" w:firstLineChars="200"/>
        <w:jc w:val="left"/>
        <w:rPr>
          <w:rFonts w:hint="eastAsia" w:eastAsia="仿宋_GB2312"/>
          <w:kern w:val="0"/>
          <w:sz w:val="32"/>
          <w:szCs w:val="32"/>
        </w:rPr>
      </w:pPr>
      <w:r>
        <w:rPr>
          <w:rFonts w:hint="eastAsia" w:eastAsia="仿宋_GB2312"/>
          <w:kern w:val="0"/>
          <w:sz w:val="32"/>
          <w:szCs w:val="32"/>
        </w:rPr>
        <w:t>按照市政府工作安排，根据管行业就要管招商工作要求以及全市对外开放领导小组办公室关于产业招商工作任务分工，市经济和信息化局要协调做好全市工业招商引资工作，组建专业的工业招商引资队伍，积极开展小分队赴外招商引资活动，组织行业内专家开展产业分析研究，做好行业内招商考察调研和接待等相关工作。</w:t>
      </w:r>
    </w:p>
    <w:p w14:paraId="2835691C">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2．项目立项、资金申报的依据。</w:t>
      </w:r>
    </w:p>
    <w:p w14:paraId="49A6BB17">
      <w:pPr>
        <w:autoSpaceDE w:val="0"/>
        <w:autoSpaceDN w:val="0"/>
        <w:adjustRightInd w:val="0"/>
        <w:spacing w:line="600" w:lineRule="exact"/>
        <w:ind w:firstLine="640" w:firstLineChars="200"/>
        <w:jc w:val="left"/>
        <w:rPr>
          <w:rFonts w:hint="eastAsia" w:eastAsia="仿宋_GB2312"/>
          <w:kern w:val="0"/>
          <w:sz w:val="32"/>
          <w:szCs w:val="32"/>
        </w:rPr>
      </w:pPr>
      <w:r>
        <w:rPr>
          <w:rFonts w:hint="eastAsia" w:eastAsia="仿宋_GB2312"/>
          <w:kern w:val="0"/>
          <w:sz w:val="32"/>
          <w:szCs w:val="32"/>
        </w:rPr>
        <w:t>市领导审批同意。</w:t>
      </w:r>
    </w:p>
    <w:p w14:paraId="19E909C6">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3．资金管理办法制定情况。</w:t>
      </w:r>
    </w:p>
    <w:p w14:paraId="460ED443">
      <w:pPr>
        <w:autoSpaceDE w:val="0"/>
        <w:autoSpaceDN w:val="0"/>
        <w:adjustRightInd w:val="0"/>
        <w:spacing w:line="600" w:lineRule="exact"/>
        <w:ind w:firstLine="640" w:firstLineChars="200"/>
        <w:jc w:val="left"/>
        <w:rPr>
          <w:rFonts w:hint="eastAsia" w:eastAsia="仿宋_GB2312"/>
          <w:kern w:val="0"/>
          <w:sz w:val="32"/>
          <w:szCs w:val="32"/>
        </w:rPr>
      </w:pPr>
      <w:r>
        <w:rPr>
          <w:rFonts w:hint="eastAsia" w:eastAsia="仿宋_GB2312"/>
          <w:kern w:val="0"/>
          <w:sz w:val="32"/>
          <w:szCs w:val="32"/>
        </w:rPr>
        <w:t>市经济和信息化局制定了《工业招商引资专项经费使用管理办法（试行）》。</w:t>
      </w:r>
    </w:p>
    <w:p w14:paraId="3C467AEB">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4．资金分配的原则及考虑因素。</w:t>
      </w:r>
    </w:p>
    <w:p w14:paraId="2A893B0A">
      <w:pPr>
        <w:autoSpaceDE w:val="0"/>
        <w:autoSpaceDN w:val="0"/>
        <w:adjustRightInd w:val="0"/>
        <w:spacing w:line="600" w:lineRule="exact"/>
        <w:ind w:firstLine="640" w:firstLineChars="200"/>
        <w:jc w:val="left"/>
        <w:rPr>
          <w:rFonts w:hint="eastAsia" w:eastAsia="仿宋_GB2312"/>
          <w:kern w:val="0"/>
          <w:sz w:val="32"/>
          <w:szCs w:val="32"/>
        </w:rPr>
      </w:pPr>
      <w:r>
        <w:rPr>
          <w:rFonts w:hint="eastAsia" w:eastAsia="仿宋_GB2312"/>
          <w:kern w:val="0"/>
          <w:sz w:val="32"/>
          <w:szCs w:val="32"/>
        </w:rPr>
        <w:t>一是工业招商工作人员人头经费，按照与市财政局沟通后向市政府请示后，领导批复同意的标准进行安排；二是工业招商工作经费，根据上年度工作经费支出情况及本年度工作任务进行预算，本着节约原则以实际发生费用为准。</w:t>
      </w:r>
    </w:p>
    <w:p w14:paraId="2BDCF3DB">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（二）项目绩效目标。</w:t>
      </w:r>
    </w:p>
    <w:p w14:paraId="3FF02F95">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1．项目主要内容。</w:t>
      </w:r>
    </w:p>
    <w:p w14:paraId="4829B6FF">
      <w:pPr>
        <w:autoSpaceDE w:val="0"/>
        <w:autoSpaceDN w:val="0"/>
        <w:adjustRightInd w:val="0"/>
        <w:spacing w:line="600" w:lineRule="exact"/>
        <w:ind w:firstLine="640" w:firstLineChars="200"/>
        <w:jc w:val="left"/>
        <w:rPr>
          <w:rFonts w:hint="eastAsia" w:eastAsia="仿宋_GB2312"/>
          <w:kern w:val="0"/>
          <w:sz w:val="32"/>
          <w:szCs w:val="32"/>
        </w:rPr>
      </w:pPr>
      <w:r>
        <w:rPr>
          <w:rFonts w:hint="eastAsia" w:eastAsia="仿宋_GB2312"/>
          <w:kern w:val="0"/>
          <w:sz w:val="32"/>
          <w:szCs w:val="32"/>
        </w:rPr>
        <w:t>完成市政府、市对外开放领导小组办公室下达的工业招商工作目标任务。</w:t>
      </w:r>
    </w:p>
    <w:p w14:paraId="095E6801">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2．项目具体绩效目标。</w:t>
      </w:r>
    </w:p>
    <w:p w14:paraId="697D4AC0">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开展赴外招商引资活动8次以上，完成工业投资同比增长17.2%，完成技改投资同比增长21.6%。</w:t>
      </w:r>
    </w:p>
    <w:p w14:paraId="13D4152E">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3．申报内容是否与实际相符。</w:t>
      </w:r>
    </w:p>
    <w:p w14:paraId="3F584893">
      <w:pPr>
        <w:autoSpaceDE w:val="0"/>
        <w:autoSpaceDN w:val="0"/>
        <w:adjustRightInd w:val="0"/>
        <w:spacing w:line="600" w:lineRule="exact"/>
        <w:ind w:firstLine="640" w:firstLineChars="200"/>
        <w:jc w:val="left"/>
        <w:rPr>
          <w:rFonts w:hint="eastAsia" w:eastAsia="仿宋_GB2312"/>
          <w:kern w:val="0"/>
          <w:sz w:val="32"/>
          <w:szCs w:val="32"/>
        </w:rPr>
      </w:pPr>
      <w:r>
        <w:rPr>
          <w:rFonts w:eastAsia="仿宋_GB2312"/>
          <w:kern w:val="0"/>
          <w:sz w:val="32"/>
          <w:szCs w:val="32"/>
        </w:rPr>
        <w:t>申报内容与实际相符</w:t>
      </w:r>
      <w:r>
        <w:rPr>
          <w:rFonts w:hint="eastAsia" w:eastAsia="仿宋_GB2312"/>
          <w:kern w:val="0"/>
          <w:sz w:val="32"/>
          <w:szCs w:val="32"/>
        </w:rPr>
        <w:t>，</w:t>
      </w:r>
      <w:r>
        <w:rPr>
          <w:rFonts w:eastAsia="仿宋_GB2312"/>
          <w:kern w:val="0"/>
          <w:sz w:val="32"/>
          <w:szCs w:val="32"/>
        </w:rPr>
        <w:t>申报目标</w:t>
      </w:r>
      <w:r>
        <w:rPr>
          <w:rFonts w:hint="eastAsia" w:eastAsia="仿宋_GB2312"/>
          <w:kern w:val="0"/>
          <w:sz w:val="32"/>
          <w:szCs w:val="32"/>
        </w:rPr>
        <w:t>合理。</w:t>
      </w:r>
    </w:p>
    <w:p w14:paraId="6BCC4052">
      <w:pPr>
        <w:autoSpaceDE w:val="0"/>
        <w:autoSpaceDN w:val="0"/>
        <w:adjustRightInd w:val="0"/>
        <w:spacing w:line="600" w:lineRule="exact"/>
        <w:ind w:firstLine="640" w:firstLineChars="200"/>
        <w:jc w:val="left"/>
        <w:rPr>
          <w:rFonts w:eastAsia="楷体_GB2312"/>
          <w:kern w:val="0"/>
          <w:sz w:val="32"/>
          <w:szCs w:val="32"/>
        </w:rPr>
      </w:pPr>
      <w:r>
        <w:rPr>
          <w:rFonts w:eastAsia="黑体"/>
          <w:kern w:val="0"/>
          <w:sz w:val="32"/>
          <w:szCs w:val="32"/>
        </w:rPr>
        <w:t>二、项目资金申报及使用情况</w:t>
      </w:r>
    </w:p>
    <w:p w14:paraId="3356F39A">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14:paraId="300A901F">
      <w:pPr>
        <w:autoSpaceDE w:val="0"/>
        <w:autoSpaceDN w:val="0"/>
        <w:adjustRightInd w:val="0"/>
        <w:spacing w:line="600" w:lineRule="exact"/>
        <w:ind w:firstLine="640" w:firstLineChars="200"/>
        <w:jc w:val="left"/>
        <w:rPr>
          <w:rFonts w:hint="eastAsia" w:eastAsia="仿宋_GB2312"/>
          <w:kern w:val="0"/>
          <w:sz w:val="32"/>
          <w:szCs w:val="32"/>
        </w:rPr>
      </w:pPr>
      <w:r>
        <w:rPr>
          <w:rFonts w:hint="eastAsia" w:eastAsia="仿宋_GB2312"/>
          <w:kern w:val="0"/>
          <w:sz w:val="32"/>
          <w:szCs w:val="32"/>
        </w:rPr>
        <w:t>市经济和信息化局严格按照资金申报程序，事前与市财政局进行多次沟通，向市政府专项申请工作经费，市财政局对专项经费进行了核算，市领导对各相关专项工作经费进行了批复。</w:t>
      </w:r>
    </w:p>
    <w:p w14:paraId="4ED777DE">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w:t>
      </w:r>
    </w:p>
    <w:p w14:paraId="16B51818">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1．资金计划。</w:t>
      </w:r>
    </w:p>
    <w:p w14:paraId="132D895D">
      <w:pPr>
        <w:autoSpaceDE w:val="0"/>
        <w:autoSpaceDN w:val="0"/>
        <w:adjustRightInd w:val="0"/>
        <w:spacing w:line="600" w:lineRule="exact"/>
        <w:ind w:firstLine="640" w:firstLineChars="200"/>
        <w:jc w:val="left"/>
        <w:rPr>
          <w:rFonts w:hint="eastAsia" w:eastAsia="仿宋_GB2312"/>
          <w:kern w:val="0"/>
          <w:sz w:val="32"/>
          <w:szCs w:val="32"/>
        </w:rPr>
      </w:pPr>
      <w:r>
        <w:rPr>
          <w:rFonts w:hint="eastAsia" w:eastAsia="仿宋_GB2312"/>
          <w:kern w:val="0"/>
          <w:sz w:val="32"/>
          <w:szCs w:val="32"/>
        </w:rPr>
        <w:t>资金来源渠道为市财政专项经费，其中：2020年招商工作经费结转结余3.71万元；2021年招商引资工作经费30万元；招商优秀个人奖金1.66万元。</w:t>
      </w:r>
    </w:p>
    <w:p w14:paraId="1B2D9907">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2．资金到位。</w:t>
      </w:r>
    </w:p>
    <w:p w14:paraId="20D78422">
      <w:pPr>
        <w:autoSpaceDE w:val="0"/>
        <w:autoSpaceDN w:val="0"/>
        <w:adjustRightInd w:val="0"/>
        <w:spacing w:line="600" w:lineRule="exact"/>
        <w:ind w:firstLine="640" w:firstLineChars="200"/>
        <w:jc w:val="left"/>
        <w:rPr>
          <w:rFonts w:hint="eastAsia" w:eastAsia="仿宋_GB2312"/>
          <w:kern w:val="0"/>
          <w:sz w:val="32"/>
          <w:szCs w:val="32"/>
        </w:rPr>
      </w:pPr>
      <w:r>
        <w:rPr>
          <w:rFonts w:hint="eastAsia" w:eastAsia="仿宋_GB2312"/>
          <w:kern w:val="0"/>
          <w:sz w:val="32"/>
          <w:szCs w:val="32"/>
        </w:rPr>
        <w:t>2021年招商引资工作经费实际到位资金共计35.37万元。</w:t>
      </w:r>
    </w:p>
    <w:p w14:paraId="7B75C363">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 xml:space="preserve"> 3．资金使用。</w:t>
      </w:r>
    </w:p>
    <w:p w14:paraId="7E0930C4">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2020年工业招商引资工作支出93.37万元，严格按照经费支出范围、支出标准、支出相关要求进行支付，支出合法合规，挤占市经济和信息化局公用办公经费58万元。</w:t>
      </w:r>
    </w:p>
    <w:p w14:paraId="2AD2BED8">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14:paraId="4AD4DEDC">
      <w:pPr>
        <w:autoSpaceDE w:val="0"/>
        <w:autoSpaceDN w:val="0"/>
        <w:adjustRightInd w:val="0"/>
        <w:spacing w:line="600" w:lineRule="exact"/>
        <w:ind w:firstLine="640" w:firstLineChars="200"/>
        <w:jc w:val="left"/>
        <w:rPr>
          <w:rFonts w:hint="eastAsia" w:eastAsia="仿宋_GB2312"/>
          <w:kern w:val="0"/>
          <w:sz w:val="32"/>
          <w:szCs w:val="32"/>
        </w:rPr>
      </w:pPr>
      <w:r>
        <w:rPr>
          <w:rFonts w:hint="eastAsia" w:eastAsia="仿宋_GB2312"/>
          <w:kern w:val="0"/>
          <w:sz w:val="32"/>
          <w:szCs w:val="32"/>
        </w:rPr>
        <w:t>项目财务管理相对比较规范，</w:t>
      </w:r>
      <w:r>
        <w:rPr>
          <w:rFonts w:eastAsia="仿宋_GB2312"/>
          <w:kern w:val="0"/>
          <w:sz w:val="32"/>
          <w:szCs w:val="32"/>
        </w:rPr>
        <w:t>财务管理制度健全，严格执行财务管理制度，账务处理及时，会计核算规范</w:t>
      </w:r>
      <w:r>
        <w:rPr>
          <w:rFonts w:hint="eastAsia" w:eastAsia="仿宋_GB2312"/>
          <w:kern w:val="0"/>
          <w:sz w:val="32"/>
          <w:szCs w:val="32"/>
        </w:rPr>
        <w:t>。</w:t>
      </w:r>
    </w:p>
    <w:p w14:paraId="2DF251B4">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三、项目实施及管理情况</w:t>
      </w:r>
    </w:p>
    <w:p w14:paraId="3082F1FF">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（一）项目组织架构及实施流程。</w:t>
      </w:r>
    </w:p>
    <w:p w14:paraId="74104776">
      <w:pPr>
        <w:autoSpaceDE w:val="0"/>
        <w:autoSpaceDN w:val="0"/>
        <w:adjustRightInd w:val="0"/>
        <w:spacing w:line="600" w:lineRule="exact"/>
        <w:ind w:firstLine="640" w:firstLineChars="200"/>
        <w:jc w:val="left"/>
        <w:rPr>
          <w:rFonts w:hint="eastAsia" w:eastAsia="仿宋_GB2312"/>
          <w:kern w:val="0"/>
          <w:sz w:val="32"/>
          <w:szCs w:val="32"/>
        </w:rPr>
      </w:pPr>
      <w:r>
        <w:rPr>
          <w:rFonts w:hint="eastAsia" w:eastAsia="仿宋_GB2312"/>
          <w:kern w:val="0"/>
          <w:sz w:val="32"/>
          <w:szCs w:val="32"/>
        </w:rPr>
        <w:t>没有问题。</w:t>
      </w:r>
    </w:p>
    <w:p w14:paraId="5980C523">
      <w:pPr>
        <w:autoSpaceDE w:val="0"/>
        <w:autoSpaceDN w:val="0"/>
        <w:adjustRightInd w:val="0"/>
        <w:spacing w:line="600" w:lineRule="exact"/>
        <w:ind w:firstLine="640" w:firstLineChars="200"/>
        <w:jc w:val="left"/>
        <w:rPr>
          <w:rFonts w:hint="eastAsia" w:eastAsia="仿宋_GB2312"/>
          <w:kern w:val="0"/>
          <w:sz w:val="32"/>
          <w:szCs w:val="32"/>
        </w:rPr>
      </w:pPr>
      <w:r>
        <w:rPr>
          <w:rFonts w:eastAsia="楷体_GB2312"/>
          <w:kern w:val="0"/>
          <w:sz w:val="32"/>
          <w:szCs w:val="32"/>
        </w:rPr>
        <w:t>（二）项目管理情况。</w:t>
      </w:r>
    </w:p>
    <w:p w14:paraId="0AC5C7A8">
      <w:pPr>
        <w:autoSpaceDE w:val="0"/>
        <w:autoSpaceDN w:val="0"/>
        <w:adjustRightInd w:val="0"/>
        <w:spacing w:line="600" w:lineRule="exact"/>
        <w:ind w:firstLine="640" w:firstLineChars="200"/>
        <w:jc w:val="left"/>
        <w:rPr>
          <w:rFonts w:hint="eastAsia" w:eastAsia="仿宋_GB2312"/>
          <w:kern w:val="0"/>
          <w:sz w:val="32"/>
          <w:szCs w:val="32"/>
        </w:rPr>
      </w:pPr>
      <w:r>
        <w:rPr>
          <w:rFonts w:hint="eastAsia" w:eastAsia="仿宋_GB2312"/>
          <w:kern w:val="0"/>
          <w:sz w:val="32"/>
          <w:szCs w:val="32"/>
        </w:rPr>
        <w:t>严格按照项目管理规定，按要求执行了</w:t>
      </w:r>
      <w:r>
        <w:rPr>
          <w:rFonts w:eastAsia="仿宋_GB2312"/>
          <w:kern w:val="0"/>
          <w:sz w:val="32"/>
          <w:szCs w:val="32"/>
        </w:rPr>
        <w:t>招投标、政府采购、项目公示制等相关规定</w:t>
      </w:r>
      <w:r>
        <w:rPr>
          <w:rFonts w:hint="eastAsia" w:eastAsia="仿宋_GB2312"/>
          <w:kern w:val="0"/>
          <w:sz w:val="32"/>
          <w:szCs w:val="32"/>
        </w:rPr>
        <w:t>。</w:t>
      </w:r>
    </w:p>
    <w:p w14:paraId="7633135D">
      <w:pPr>
        <w:autoSpaceDE w:val="0"/>
        <w:autoSpaceDN w:val="0"/>
        <w:adjustRightInd w:val="0"/>
        <w:spacing w:line="600" w:lineRule="exact"/>
        <w:ind w:firstLine="640" w:firstLineChars="200"/>
        <w:jc w:val="left"/>
        <w:rPr>
          <w:rFonts w:hint="eastAsia" w:eastAsia="仿宋_GB2312"/>
          <w:kern w:val="0"/>
          <w:sz w:val="32"/>
          <w:szCs w:val="32"/>
        </w:rPr>
      </w:pPr>
      <w:r>
        <w:rPr>
          <w:rFonts w:eastAsia="楷体_GB2312"/>
          <w:kern w:val="0"/>
          <w:sz w:val="32"/>
          <w:szCs w:val="32"/>
        </w:rPr>
        <w:t>（三）项目监管情况。</w:t>
      </w:r>
    </w:p>
    <w:p w14:paraId="4BA7B875">
      <w:pPr>
        <w:autoSpaceDE w:val="0"/>
        <w:autoSpaceDN w:val="0"/>
        <w:adjustRightInd w:val="0"/>
        <w:spacing w:line="600" w:lineRule="exact"/>
        <w:ind w:firstLine="640" w:firstLineChars="200"/>
        <w:jc w:val="left"/>
        <w:rPr>
          <w:rFonts w:hint="eastAsia" w:eastAsia="仿宋_GB2312"/>
          <w:kern w:val="0"/>
          <w:sz w:val="32"/>
          <w:szCs w:val="32"/>
        </w:rPr>
      </w:pPr>
      <w:r>
        <w:rPr>
          <w:rFonts w:hint="eastAsia" w:eastAsia="仿宋_GB2312"/>
          <w:kern w:val="0"/>
          <w:sz w:val="32"/>
          <w:szCs w:val="32"/>
        </w:rPr>
        <w:t>严格执行项目监管要求，在项目审批实施过程中积极邀请驻局纪检监察组指导开展工作，严格按照监管程序和要求组织开展相关工作。</w:t>
      </w:r>
    </w:p>
    <w:p w14:paraId="36871A20">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四、项目绩效情况</w:t>
      </w:r>
    </w:p>
    <w:p w14:paraId="5862987E">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（一）项目完成情况。</w:t>
      </w:r>
    </w:p>
    <w:p w14:paraId="46F63407">
      <w:pPr>
        <w:autoSpaceDE w:val="0"/>
        <w:autoSpaceDN w:val="0"/>
        <w:adjustRightInd w:val="0"/>
        <w:spacing w:line="600" w:lineRule="exact"/>
        <w:ind w:firstLine="640" w:firstLineChars="200"/>
        <w:jc w:val="left"/>
        <w:rPr>
          <w:rFonts w:hint="eastAsia" w:eastAsia="仿宋_GB2312"/>
          <w:kern w:val="0"/>
          <w:sz w:val="32"/>
          <w:szCs w:val="32"/>
        </w:rPr>
      </w:pPr>
      <w:r>
        <w:rPr>
          <w:rFonts w:hint="eastAsia" w:eastAsia="仿宋_GB2312"/>
          <w:kern w:val="0"/>
          <w:sz w:val="32"/>
          <w:szCs w:val="32"/>
        </w:rPr>
        <w:t>2021年1-12月，举办重大招商活动及会议20次，赴外招商活动25批次，对接企业200余人次，支出专项经费88万元。</w:t>
      </w:r>
    </w:p>
    <w:p w14:paraId="57BAFB63">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（二）项目效益情况。</w:t>
      </w:r>
    </w:p>
    <w:p w14:paraId="529B3608">
      <w:pPr>
        <w:autoSpaceDE w:val="0"/>
        <w:autoSpaceDN w:val="0"/>
        <w:adjustRightInd w:val="0"/>
        <w:spacing w:line="600" w:lineRule="exact"/>
        <w:ind w:firstLine="640" w:firstLineChars="200"/>
        <w:jc w:val="left"/>
        <w:rPr>
          <w:rFonts w:hint="eastAsia" w:eastAsia="仿宋_GB2312"/>
          <w:kern w:val="0"/>
          <w:sz w:val="32"/>
          <w:szCs w:val="32"/>
        </w:rPr>
      </w:pPr>
      <w:r>
        <w:rPr>
          <w:rFonts w:hint="eastAsia" w:eastAsia="仿宋_GB2312"/>
          <w:kern w:val="0"/>
          <w:sz w:val="32"/>
          <w:szCs w:val="32"/>
        </w:rPr>
        <w:t>带动全市签约工业项目312个，完成工业投资同比增长17.2%，完成技改投资同比增长21.6%，规上工业企业营业收入2233.6亿元。提供更多就业岗位，持续引导攀枝花市工业经济创新发展、跨越发展。市领导、市级相关部门、各县（区）、各相关服务企业对工业招商工作给予好评，较为满意。</w:t>
      </w:r>
    </w:p>
    <w:p w14:paraId="5D42D8CC">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五、评价结论及建议</w:t>
      </w:r>
    </w:p>
    <w:p w14:paraId="5CF17FC1">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（一）评价结论。</w:t>
      </w:r>
    </w:p>
    <w:p w14:paraId="677D38C7">
      <w:pPr>
        <w:autoSpaceDE w:val="0"/>
        <w:autoSpaceDN w:val="0"/>
        <w:adjustRightInd w:val="0"/>
        <w:spacing w:line="600" w:lineRule="exact"/>
        <w:ind w:firstLine="640" w:firstLineChars="200"/>
        <w:jc w:val="left"/>
        <w:rPr>
          <w:rFonts w:hint="eastAsia" w:eastAsia="仿宋_GB2312"/>
          <w:kern w:val="0"/>
          <w:sz w:val="32"/>
          <w:szCs w:val="32"/>
        </w:rPr>
      </w:pPr>
      <w:r>
        <w:rPr>
          <w:rFonts w:hint="eastAsia" w:eastAsia="仿宋_GB2312"/>
          <w:kern w:val="0"/>
          <w:sz w:val="32"/>
          <w:szCs w:val="32"/>
        </w:rPr>
        <w:t>工业招商工作成效显著，</w:t>
      </w:r>
      <w:r>
        <w:rPr>
          <w:rFonts w:eastAsia="仿宋_GB2312"/>
          <w:kern w:val="0"/>
          <w:sz w:val="32"/>
          <w:szCs w:val="32"/>
        </w:rPr>
        <w:t>项目决策、项目管理、项目绩效</w:t>
      </w:r>
      <w:r>
        <w:rPr>
          <w:rFonts w:hint="eastAsia" w:eastAsia="仿宋_GB2312"/>
          <w:kern w:val="0"/>
          <w:sz w:val="32"/>
          <w:szCs w:val="32"/>
        </w:rPr>
        <w:t>合法合规合理。</w:t>
      </w:r>
    </w:p>
    <w:p w14:paraId="2453A6C2">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（二）存在的问题。</w:t>
      </w:r>
    </w:p>
    <w:p w14:paraId="6830C54F">
      <w:pPr>
        <w:autoSpaceDE w:val="0"/>
        <w:autoSpaceDN w:val="0"/>
        <w:adjustRightInd w:val="0"/>
        <w:spacing w:line="600" w:lineRule="exact"/>
        <w:ind w:firstLine="640" w:firstLineChars="200"/>
        <w:jc w:val="left"/>
        <w:rPr>
          <w:rFonts w:hint="eastAsia" w:eastAsia="仿宋_GB2312"/>
          <w:kern w:val="0"/>
          <w:sz w:val="32"/>
          <w:szCs w:val="32"/>
        </w:rPr>
      </w:pPr>
      <w:r>
        <w:rPr>
          <w:rFonts w:hint="eastAsia" w:eastAsia="仿宋_GB2312"/>
          <w:kern w:val="0"/>
          <w:sz w:val="32"/>
          <w:szCs w:val="32"/>
        </w:rPr>
        <w:t>一是经费安排较少，不能有效开展招商工作，同时还挤占了市经济和信息化局其他公共办公经费，影响工作开展。二是专项经费操作程序较为复杂，同一个事情反复请示报告，反复协调，影响工作开展。</w:t>
      </w:r>
    </w:p>
    <w:p w14:paraId="750B6C74">
      <w:pPr>
        <w:autoSpaceDE w:val="0"/>
        <w:autoSpaceDN w:val="0"/>
        <w:adjustRightInd w:val="0"/>
        <w:spacing w:line="600" w:lineRule="exact"/>
        <w:ind w:firstLine="640" w:firstLineChars="200"/>
        <w:jc w:val="left"/>
        <w:rPr>
          <w:rFonts w:hint="eastAsia" w:eastAsia="楷体_GB2312"/>
          <w:kern w:val="0"/>
          <w:sz w:val="32"/>
          <w:szCs w:val="32"/>
        </w:rPr>
      </w:pPr>
      <w:r>
        <w:rPr>
          <w:rFonts w:eastAsia="楷体_GB2312"/>
          <w:kern w:val="0"/>
          <w:sz w:val="32"/>
          <w:szCs w:val="32"/>
        </w:rPr>
        <w:t>（三）相关建议。</w:t>
      </w:r>
    </w:p>
    <w:p w14:paraId="6E66B9AE">
      <w:pPr>
        <w:autoSpaceDE w:val="0"/>
        <w:autoSpaceDN w:val="0"/>
        <w:adjustRightInd w:val="0"/>
        <w:spacing w:line="600" w:lineRule="exact"/>
        <w:ind w:firstLine="640" w:firstLineChars="200"/>
        <w:jc w:val="left"/>
        <w:rPr>
          <w:rFonts w:eastAsia="楷体_GB2312"/>
          <w:kern w:val="0"/>
          <w:sz w:val="32"/>
          <w:szCs w:val="32"/>
        </w:rPr>
      </w:pPr>
      <w:r>
        <w:rPr>
          <w:rFonts w:hint="eastAsia" w:eastAsia="仿宋_GB2312"/>
          <w:kern w:val="0"/>
          <w:sz w:val="32"/>
          <w:szCs w:val="32"/>
        </w:rPr>
        <w:t>一是请是市财政积极支持开展工业招商工作，对工作经费足额进行保障。二是市财政精简程序，对已经确定的事项按照部门年度经费预算进行安排。</w:t>
      </w:r>
    </w:p>
    <w:p w14:paraId="563F7851">
      <w:pPr>
        <w:pStyle w:val="2"/>
        <w:spacing w:before="93"/>
        <w:rPr>
          <w:rFonts w:hint="eastAsia"/>
        </w:rPr>
      </w:pPr>
    </w:p>
    <w:p w14:paraId="2FE53440">
      <w:pPr>
        <w:pStyle w:val="2"/>
        <w:spacing w:before="93"/>
        <w:rPr>
          <w:rFonts w:hint="eastAsia"/>
        </w:rPr>
      </w:pPr>
    </w:p>
    <w:p w14:paraId="580949CB">
      <w:pPr>
        <w:pStyle w:val="2"/>
        <w:spacing w:before="93"/>
        <w:rPr>
          <w:rFonts w:hint="eastAsia"/>
        </w:rPr>
      </w:pPr>
    </w:p>
    <w:p w14:paraId="4F5A6B26">
      <w:pPr>
        <w:autoSpaceDE w:val="0"/>
        <w:autoSpaceDN w:val="0"/>
        <w:adjustRightInd w:val="0"/>
        <w:spacing w:line="600" w:lineRule="exact"/>
        <w:rPr>
          <w:rFonts w:hint="eastAsia" w:hAnsi="方正小标宋_GBK" w:eastAsia="方正小标宋_GBK"/>
          <w:kern w:val="0"/>
          <w:sz w:val="44"/>
          <w:szCs w:val="44"/>
        </w:rPr>
      </w:pPr>
    </w:p>
    <w:p w14:paraId="2659AD2F">
      <w:pPr>
        <w:autoSpaceDE w:val="0"/>
        <w:autoSpaceDN w:val="0"/>
        <w:adjustRightInd w:val="0"/>
        <w:spacing w:line="600" w:lineRule="exact"/>
        <w:ind w:firstLine="880" w:firstLineChars="200"/>
        <w:jc w:val="center"/>
        <w:rPr>
          <w:rFonts w:eastAsia="方正小标宋_GBK"/>
          <w:kern w:val="0"/>
          <w:sz w:val="44"/>
          <w:szCs w:val="44"/>
        </w:rPr>
      </w:pPr>
      <w:r>
        <w:rPr>
          <w:rFonts w:hAnsi="方正小标宋_GBK" w:eastAsia="方正小标宋_GBK"/>
          <w:kern w:val="0"/>
          <w:sz w:val="44"/>
          <w:szCs w:val="44"/>
        </w:rPr>
        <w:t>攀枝花市经济和信息化局</w:t>
      </w:r>
    </w:p>
    <w:p w14:paraId="6E0BC9D9">
      <w:pPr>
        <w:autoSpaceDE w:val="0"/>
        <w:autoSpaceDN w:val="0"/>
        <w:adjustRightInd w:val="0"/>
        <w:spacing w:line="600" w:lineRule="exact"/>
        <w:ind w:firstLine="880" w:firstLineChars="200"/>
        <w:jc w:val="center"/>
        <w:rPr>
          <w:rFonts w:eastAsia="方正小标宋_GBK"/>
          <w:kern w:val="0"/>
          <w:sz w:val="44"/>
          <w:szCs w:val="44"/>
        </w:rPr>
      </w:pPr>
      <w:r>
        <w:rPr>
          <w:rFonts w:eastAsia="方正小标宋_GBK"/>
          <w:kern w:val="0"/>
          <w:sz w:val="44"/>
          <w:szCs w:val="44"/>
        </w:rPr>
        <w:t>2021</w:t>
      </w:r>
      <w:r>
        <w:rPr>
          <w:rFonts w:hAnsi="方正小标宋_GBK" w:eastAsia="方正小标宋_GBK"/>
          <w:kern w:val="0"/>
          <w:sz w:val="44"/>
          <w:szCs w:val="44"/>
        </w:rPr>
        <w:t>年度部门预算项目支出绩效自评报告</w:t>
      </w:r>
    </w:p>
    <w:p w14:paraId="2D02227F">
      <w:pPr>
        <w:autoSpaceDE w:val="0"/>
        <w:autoSpaceDN w:val="0"/>
        <w:adjustRightInd w:val="0"/>
        <w:spacing w:line="600" w:lineRule="exact"/>
        <w:ind w:firstLine="640" w:firstLineChars="200"/>
        <w:jc w:val="center"/>
        <w:rPr>
          <w:rFonts w:eastAsia="方正小标宋_GBK"/>
          <w:kern w:val="0"/>
          <w:sz w:val="32"/>
          <w:szCs w:val="32"/>
        </w:rPr>
      </w:pPr>
      <w:r>
        <w:rPr>
          <w:rFonts w:hAnsi="方正小标宋_GBK" w:eastAsia="方正小标宋_GBK"/>
          <w:kern w:val="0"/>
          <w:sz w:val="32"/>
          <w:szCs w:val="32"/>
        </w:rPr>
        <w:t>（</w:t>
      </w:r>
      <w:r>
        <w:rPr>
          <w:rFonts w:eastAsia="方正小标宋_GBK"/>
          <w:sz w:val="32"/>
          <w:szCs w:val="32"/>
        </w:rPr>
        <w:t>“</w:t>
      </w:r>
      <w:r>
        <w:rPr>
          <w:rFonts w:hAnsi="方正小标宋_GBK" w:eastAsia="方正小标宋_GBK"/>
          <w:sz w:val="32"/>
          <w:szCs w:val="32"/>
        </w:rPr>
        <w:t>钒钛之光</w:t>
      </w:r>
      <w:r>
        <w:rPr>
          <w:rFonts w:eastAsia="方正小标宋_GBK"/>
          <w:sz w:val="32"/>
          <w:szCs w:val="32"/>
        </w:rPr>
        <w:t>”</w:t>
      </w:r>
      <w:r>
        <w:rPr>
          <w:rFonts w:hAnsi="方正小标宋_GBK" w:eastAsia="方正小标宋_GBK"/>
          <w:sz w:val="32"/>
          <w:szCs w:val="32"/>
        </w:rPr>
        <w:t>创业领军人才培养经费</w:t>
      </w:r>
      <w:r>
        <w:rPr>
          <w:rFonts w:hAnsi="方正小标宋_GBK" w:eastAsia="方正小标宋_GBK"/>
          <w:kern w:val="0"/>
          <w:sz w:val="32"/>
          <w:szCs w:val="32"/>
        </w:rPr>
        <w:t>）</w:t>
      </w:r>
    </w:p>
    <w:p w14:paraId="40B3731E">
      <w:pPr>
        <w:autoSpaceDE w:val="0"/>
        <w:autoSpaceDN w:val="0"/>
        <w:adjustRightInd w:val="0"/>
        <w:spacing w:line="600" w:lineRule="exact"/>
        <w:ind w:firstLine="640" w:firstLineChars="200"/>
        <w:jc w:val="left"/>
        <w:rPr>
          <w:rFonts w:eastAsia="黑体"/>
          <w:kern w:val="0"/>
          <w:sz w:val="32"/>
          <w:szCs w:val="32"/>
        </w:rPr>
      </w:pPr>
    </w:p>
    <w:p w14:paraId="2CA70D87">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一、项目概况</w:t>
      </w:r>
    </w:p>
    <w:p w14:paraId="3C1414F9">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（一）项目基本情况。</w:t>
      </w:r>
    </w:p>
    <w:p w14:paraId="5D21EB9A">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1.项目主管部门职能职责。</w:t>
      </w:r>
    </w:p>
    <w:p w14:paraId="24350391">
      <w:pPr>
        <w:spacing w:line="600" w:lineRule="exact"/>
        <w:ind w:firstLine="645"/>
        <w:rPr>
          <w:rStyle w:val="34"/>
          <w:rFonts w:hint="default"/>
        </w:rPr>
      </w:pPr>
      <w:r>
        <w:rPr>
          <w:rStyle w:val="34"/>
          <w:rFonts w:hint="default"/>
        </w:rPr>
        <w:t>为深入实施人才强市战略，运用自主知识产权创办科技型企业的科技人才，具有较强经营管理才能的高级管理人才培养为重点，造就一支推动产业升级、城市转型发展急需紧缺的高层次人才队伍，提升人才队伍核心竞争力，为推动攀枝花高质量发展提供有力人才支撑。</w:t>
      </w:r>
    </w:p>
    <w:p w14:paraId="48811833">
      <w:pPr>
        <w:spacing w:line="600" w:lineRule="exact"/>
        <w:ind w:firstLine="645"/>
        <w:rPr>
          <w:rFonts w:eastAsia="仿宋_GB2312"/>
          <w:sz w:val="32"/>
          <w:szCs w:val="32"/>
          <w:shd w:val="clear" w:color="auto" w:fill="FFFFFF"/>
        </w:rPr>
      </w:pPr>
      <w:r>
        <w:rPr>
          <w:rStyle w:val="34"/>
          <w:rFonts w:hint="default"/>
        </w:rPr>
        <w:t>2.</w:t>
      </w:r>
      <w:r>
        <w:rPr>
          <w:rFonts w:eastAsia="仿宋_GB2312"/>
          <w:kern w:val="0"/>
          <w:sz w:val="32"/>
          <w:szCs w:val="32"/>
        </w:rPr>
        <w:t xml:space="preserve"> 项目立项、资金申报的依据。</w:t>
      </w:r>
    </w:p>
    <w:p w14:paraId="3FD384C3">
      <w:pPr>
        <w:spacing w:line="600" w:lineRule="exact"/>
        <w:ind w:firstLine="645"/>
        <w:rPr>
          <w:rStyle w:val="34"/>
          <w:rFonts w:hint="default"/>
        </w:rPr>
      </w:pPr>
      <w:r>
        <w:rPr>
          <w:rStyle w:val="34"/>
          <w:rFonts w:hint="default"/>
        </w:rPr>
        <w:t>根据《四川省</w:t>
      </w:r>
      <w:r>
        <w:rPr>
          <w:rStyle w:val="35"/>
        </w:rPr>
        <w:t>“</w:t>
      </w:r>
      <w:r>
        <w:rPr>
          <w:rStyle w:val="34"/>
          <w:rFonts w:hint="default"/>
        </w:rPr>
        <w:t>天府万人计划</w:t>
      </w:r>
      <w:r>
        <w:rPr>
          <w:rStyle w:val="35"/>
        </w:rPr>
        <w:t>”</w:t>
      </w:r>
      <w:r>
        <w:rPr>
          <w:rStyle w:val="34"/>
          <w:rFonts w:hint="default"/>
        </w:rPr>
        <w:t>实施办法》（川组通〔</w:t>
      </w:r>
      <w:r>
        <w:rPr>
          <w:rStyle w:val="35"/>
        </w:rPr>
        <w:t>2018</w:t>
      </w:r>
      <w:r>
        <w:rPr>
          <w:rStyle w:val="34"/>
          <w:rFonts w:hint="default"/>
        </w:rPr>
        <w:t>〕</w:t>
      </w:r>
      <w:r>
        <w:rPr>
          <w:rStyle w:val="35"/>
        </w:rPr>
        <w:t>21</w:t>
      </w:r>
      <w:r>
        <w:rPr>
          <w:rStyle w:val="34"/>
          <w:rFonts w:hint="default"/>
        </w:rPr>
        <w:t>号）、《 中共攀枝花市委、攀枝花市人民政府关于深化人才发展体制机制改革倾力推进</w:t>
      </w:r>
      <w:r>
        <w:rPr>
          <w:rStyle w:val="35"/>
        </w:rPr>
        <w:t>“</w:t>
      </w:r>
      <w:r>
        <w:rPr>
          <w:rStyle w:val="34"/>
          <w:rFonts w:hint="default"/>
        </w:rPr>
        <w:t>四个加快建设</w:t>
      </w:r>
      <w:r>
        <w:rPr>
          <w:rStyle w:val="35"/>
        </w:rPr>
        <w:t>”</w:t>
      </w:r>
      <w:r>
        <w:rPr>
          <w:rStyle w:val="34"/>
          <w:rFonts w:hint="default"/>
        </w:rPr>
        <w:t>的实施意见》（攀委发〔</w:t>
      </w:r>
      <w:r>
        <w:rPr>
          <w:rStyle w:val="35"/>
        </w:rPr>
        <w:t>2017</w:t>
      </w:r>
      <w:r>
        <w:rPr>
          <w:rStyle w:val="34"/>
          <w:rFonts w:hint="default"/>
        </w:rPr>
        <w:t>〕</w:t>
      </w:r>
      <w:r>
        <w:rPr>
          <w:rStyle w:val="35"/>
        </w:rPr>
        <w:t>17</w:t>
      </w:r>
      <w:r>
        <w:rPr>
          <w:rStyle w:val="34"/>
          <w:rFonts w:hint="default"/>
        </w:rPr>
        <w:t xml:space="preserve">号）、《攀枝花市人才工作领导小组关于印发〈 </w:t>
      </w:r>
      <w:r>
        <w:rPr>
          <w:rStyle w:val="35"/>
        </w:rPr>
        <w:t>“</w:t>
      </w:r>
      <w:r>
        <w:rPr>
          <w:rStyle w:val="34"/>
          <w:rFonts w:hint="default"/>
        </w:rPr>
        <w:t>攀枝花优秀人才选拔培养计划</w:t>
      </w:r>
      <w:r>
        <w:rPr>
          <w:rStyle w:val="35"/>
        </w:rPr>
        <w:t>”</w:t>
      </w:r>
      <w:r>
        <w:rPr>
          <w:rStyle w:val="34"/>
          <w:rFonts w:hint="default"/>
        </w:rPr>
        <w:t>实施细则〉的通知》（攀人才〔</w:t>
      </w:r>
      <w:r>
        <w:rPr>
          <w:rStyle w:val="35"/>
        </w:rPr>
        <w:t>2018</w:t>
      </w:r>
      <w:r>
        <w:rPr>
          <w:rStyle w:val="34"/>
          <w:rFonts w:hint="default"/>
        </w:rPr>
        <w:t>〕</w:t>
      </w:r>
      <w:r>
        <w:rPr>
          <w:rStyle w:val="35"/>
        </w:rPr>
        <w:t>3</w:t>
      </w:r>
      <w:r>
        <w:rPr>
          <w:rStyle w:val="34"/>
          <w:rFonts w:hint="default"/>
        </w:rPr>
        <w:t>号）精神，“</w:t>
      </w:r>
      <w:r>
        <w:rPr>
          <w:rFonts w:hAnsi="仿宋_GB2312" w:eastAsia="仿宋_GB2312"/>
          <w:sz w:val="32"/>
          <w:szCs w:val="32"/>
        </w:rPr>
        <w:t>钒钛之光</w:t>
      </w:r>
      <w:r>
        <w:rPr>
          <w:rStyle w:val="34"/>
          <w:rFonts w:hint="default"/>
        </w:rPr>
        <w:t>”</w:t>
      </w:r>
      <w:r>
        <w:rPr>
          <w:rFonts w:hAnsi="仿宋_GB2312" w:eastAsia="仿宋_GB2312"/>
          <w:sz w:val="32"/>
          <w:szCs w:val="32"/>
        </w:rPr>
        <w:t>创业领军人才培养项目，</w:t>
      </w:r>
      <w:r>
        <w:rPr>
          <w:rStyle w:val="34"/>
          <w:rFonts w:hint="default" w:hAnsi="仿宋_GB2312"/>
        </w:rPr>
        <w:t>以</w:t>
      </w:r>
      <w:r>
        <w:rPr>
          <w:rStyle w:val="34"/>
          <w:rFonts w:hint="default"/>
        </w:rPr>
        <w:t>钒钛、钢铁、信息、新材料等相关产业的优秀企业家。</w:t>
      </w:r>
    </w:p>
    <w:p w14:paraId="6FF3D1B5">
      <w:pPr>
        <w:spacing w:line="600" w:lineRule="exact"/>
        <w:ind w:firstLine="645"/>
        <w:rPr>
          <w:rFonts w:eastAsia="仿宋_GB2312"/>
          <w:kern w:val="0"/>
          <w:sz w:val="32"/>
          <w:szCs w:val="32"/>
        </w:rPr>
      </w:pPr>
      <w:r>
        <w:rPr>
          <w:rStyle w:val="34"/>
          <w:rFonts w:hint="default"/>
        </w:rPr>
        <w:t>3.</w:t>
      </w:r>
      <w:r>
        <w:rPr>
          <w:rFonts w:eastAsia="仿宋_GB2312"/>
          <w:kern w:val="0"/>
          <w:sz w:val="32"/>
          <w:szCs w:val="32"/>
        </w:rPr>
        <w:t xml:space="preserve"> 资金管理办法制定情况。</w:t>
      </w:r>
    </w:p>
    <w:p w14:paraId="38173F94">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资金严格执行现有的财经纪律。资金为财政当年预算拨款。</w:t>
      </w:r>
    </w:p>
    <w:p w14:paraId="0663C783">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4．资金分配的原则及考虑因素。</w:t>
      </w:r>
    </w:p>
    <w:p w14:paraId="2E993A57">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坚持“公平、效率、控制力”的原则，按工作需要合理分配。</w:t>
      </w:r>
    </w:p>
    <w:p w14:paraId="5AC5613F">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（二）项目绩效目标。</w:t>
      </w:r>
    </w:p>
    <w:p w14:paraId="11ABF310">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1.</w:t>
      </w:r>
      <w:r>
        <w:rPr>
          <w:rFonts w:eastAsia="仿宋_GB2312"/>
          <w:kern w:val="0"/>
          <w:sz w:val="32"/>
          <w:szCs w:val="32"/>
        </w:rPr>
        <w:t xml:space="preserve"> 项目主要内容。</w:t>
      </w:r>
    </w:p>
    <w:p w14:paraId="2C0D55FC">
      <w:pPr>
        <w:autoSpaceDE w:val="0"/>
        <w:autoSpaceDN w:val="0"/>
        <w:adjustRightInd w:val="0"/>
        <w:spacing w:line="600" w:lineRule="exact"/>
        <w:ind w:firstLine="640" w:firstLineChars="200"/>
        <w:jc w:val="left"/>
        <w:rPr>
          <w:rFonts w:eastAsia="仿宋_GB2312"/>
          <w:sz w:val="32"/>
          <w:szCs w:val="32"/>
        </w:rPr>
      </w:pPr>
      <w:r>
        <w:rPr>
          <w:rFonts w:eastAsia="仿宋_GB2312"/>
          <w:sz w:val="32"/>
          <w:szCs w:val="32"/>
        </w:rPr>
        <w:t>通过对“钒钛之光”创业领军人才培养，</w:t>
      </w:r>
      <w:r>
        <w:rPr>
          <w:rStyle w:val="34"/>
          <w:rFonts w:hint="default"/>
        </w:rPr>
        <w:t>提升攀枝花企业现代化管理水平，培养一批优秀的钒钛企业高级经营管理人才，</w:t>
      </w:r>
      <w:r>
        <w:rPr>
          <w:rFonts w:eastAsia="仿宋_GB2312"/>
          <w:sz w:val="32"/>
          <w:szCs w:val="32"/>
        </w:rPr>
        <w:t>实现企业可持续发展。</w:t>
      </w:r>
    </w:p>
    <w:p w14:paraId="17216C77">
      <w:pPr>
        <w:autoSpaceDE w:val="0"/>
        <w:autoSpaceDN w:val="0"/>
        <w:adjustRightInd w:val="0"/>
        <w:spacing w:line="600" w:lineRule="exact"/>
        <w:ind w:firstLine="640" w:firstLineChars="200"/>
        <w:jc w:val="left"/>
        <w:rPr>
          <w:rFonts w:eastAsia="仿宋_GB2312"/>
          <w:sz w:val="32"/>
          <w:szCs w:val="32"/>
          <w:lang w:val="en"/>
        </w:rPr>
      </w:pPr>
      <w:r>
        <w:rPr>
          <w:rFonts w:eastAsia="仿宋_GB2312"/>
          <w:sz w:val="32"/>
          <w:szCs w:val="32"/>
        </w:rPr>
        <w:t>2.</w:t>
      </w:r>
      <w:r>
        <w:rPr>
          <w:rFonts w:eastAsia="仿宋_GB2312"/>
          <w:kern w:val="0"/>
          <w:sz w:val="32"/>
          <w:szCs w:val="32"/>
        </w:rPr>
        <w:t xml:space="preserve"> 项目应实现的具体绩效目标。</w:t>
      </w:r>
      <w:r>
        <w:rPr>
          <w:rFonts w:eastAsia="仿宋_GB2312"/>
          <w:sz w:val="32"/>
          <w:szCs w:val="32"/>
          <w:lang w:val="en"/>
        </w:rPr>
        <w:t>2021年，</w:t>
      </w:r>
      <w:r>
        <w:rPr>
          <w:rFonts w:eastAsia="仿宋_GB2312"/>
          <w:sz w:val="32"/>
          <w:szCs w:val="32"/>
        </w:rPr>
        <w:t>11</w:t>
      </w:r>
      <w:r>
        <w:rPr>
          <w:rFonts w:eastAsia="仿宋_GB2312"/>
          <w:sz w:val="32"/>
          <w:szCs w:val="32"/>
          <w:lang w:val="en"/>
        </w:rPr>
        <w:t>名</w:t>
      </w:r>
      <w:r>
        <w:rPr>
          <w:rFonts w:eastAsia="仿宋_GB2312"/>
          <w:sz w:val="32"/>
          <w:szCs w:val="32"/>
        </w:rPr>
        <w:t>“钒钛之光”创业领军人才培养</w:t>
      </w:r>
      <w:r>
        <w:rPr>
          <w:rFonts w:eastAsia="仿宋_GB2312"/>
          <w:sz w:val="32"/>
          <w:szCs w:val="32"/>
          <w:lang w:val="en"/>
        </w:rPr>
        <w:t>单位</w:t>
      </w:r>
      <w:r>
        <w:rPr>
          <w:rFonts w:eastAsia="仿宋_GB2312"/>
          <w:sz w:val="32"/>
          <w:szCs w:val="32"/>
        </w:rPr>
        <w:t>实现营业收入约184.3亿</w:t>
      </w:r>
      <w:r>
        <w:rPr>
          <w:rFonts w:eastAsia="仿宋_GB2312"/>
          <w:sz w:val="32"/>
          <w:szCs w:val="32"/>
          <w:lang w:val="en"/>
        </w:rPr>
        <w:t>元，实现</w:t>
      </w:r>
      <w:r>
        <w:rPr>
          <w:rFonts w:eastAsia="仿宋_GB2312"/>
          <w:sz w:val="32"/>
          <w:szCs w:val="32"/>
        </w:rPr>
        <w:t>利润约64.58亿</w:t>
      </w:r>
      <w:r>
        <w:rPr>
          <w:rFonts w:eastAsia="仿宋_GB2312"/>
          <w:sz w:val="32"/>
          <w:szCs w:val="32"/>
          <w:lang w:val="en"/>
        </w:rPr>
        <w:t>元，</w:t>
      </w:r>
      <w:r>
        <w:rPr>
          <w:rFonts w:eastAsia="仿宋_GB2312"/>
          <w:sz w:val="32"/>
          <w:szCs w:val="32"/>
        </w:rPr>
        <w:t>带动从业人员约10837</w:t>
      </w:r>
      <w:r>
        <w:rPr>
          <w:rFonts w:eastAsia="仿宋_GB2312"/>
          <w:sz w:val="32"/>
          <w:szCs w:val="32"/>
          <w:lang w:val="en"/>
        </w:rPr>
        <w:t>人。</w:t>
      </w:r>
    </w:p>
    <w:p w14:paraId="42112B82">
      <w:pPr>
        <w:autoSpaceDE w:val="0"/>
        <w:autoSpaceDN w:val="0"/>
        <w:adjustRightInd w:val="0"/>
        <w:spacing w:line="600" w:lineRule="exact"/>
        <w:ind w:firstLine="640" w:firstLineChars="200"/>
        <w:jc w:val="left"/>
        <w:rPr>
          <w:rFonts w:eastAsia="仿宋_GB2312"/>
          <w:kern w:val="0"/>
          <w:sz w:val="32"/>
          <w:szCs w:val="32"/>
        </w:rPr>
      </w:pPr>
      <w:r>
        <w:rPr>
          <w:rFonts w:eastAsia="仿宋_GB2312"/>
          <w:sz w:val="32"/>
          <w:szCs w:val="32"/>
          <w:lang w:val="en"/>
        </w:rPr>
        <w:t>3.</w:t>
      </w:r>
      <w:r>
        <w:rPr>
          <w:rFonts w:eastAsia="仿宋_GB2312"/>
          <w:kern w:val="0"/>
          <w:sz w:val="32"/>
          <w:szCs w:val="32"/>
        </w:rPr>
        <w:t xml:space="preserve"> 申报内容是否与实际相符。</w:t>
      </w:r>
    </w:p>
    <w:p w14:paraId="07F2A860">
      <w:pPr>
        <w:autoSpaceDE w:val="0"/>
        <w:autoSpaceDN w:val="0"/>
        <w:adjustRightInd w:val="0"/>
        <w:spacing w:line="600" w:lineRule="exact"/>
        <w:ind w:firstLine="640" w:firstLineChars="200"/>
        <w:jc w:val="left"/>
        <w:rPr>
          <w:rFonts w:eastAsia="仿宋_GB2312"/>
          <w:sz w:val="32"/>
          <w:szCs w:val="32"/>
          <w:lang w:val="en"/>
        </w:rPr>
      </w:pPr>
      <w:r>
        <w:rPr>
          <w:rFonts w:eastAsia="仿宋_GB2312"/>
          <w:kern w:val="0"/>
          <w:sz w:val="32"/>
          <w:szCs w:val="32"/>
        </w:rPr>
        <w:t>2021年“钒钛之光”创业领军人才培养项目申报目标与实际相符，申报目标合理可行。</w:t>
      </w:r>
    </w:p>
    <w:p w14:paraId="22F79826">
      <w:pPr>
        <w:autoSpaceDE w:val="0"/>
        <w:autoSpaceDN w:val="0"/>
        <w:adjustRightInd w:val="0"/>
        <w:spacing w:line="600" w:lineRule="exact"/>
        <w:ind w:firstLine="640" w:firstLineChars="200"/>
        <w:jc w:val="left"/>
        <w:rPr>
          <w:rFonts w:eastAsia="黑体"/>
          <w:kern w:val="0"/>
          <w:sz w:val="32"/>
          <w:szCs w:val="32"/>
        </w:rPr>
      </w:pPr>
      <w:r>
        <w:rPr>
          <w:rFonts w:hAnsi="黑体" w:eastAsia="黑体"/>
          <w:sz w:val="32"/>
          <w:szCs w:val="32"/>
          <w:shd w:val="clear" w:color="auto" w:fill="FFFFFF"/>
        </w:rPr>
        <w:t>二、</w:t>
      </w:r>
      <w:r>
        <w:rPr>
          <w:rFonts w:eastAsia="黑体"/>
          <w:kern w:val="0"/>
          <w:sz w:val="32"/>
          <w:szCs w:val="32"/>
        </w:rPr>
        <w:t>项目资金申报及使用情况</w:t>
      </w:r>
    </w:p>
    <w:p w14:paraId="2035D60C">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14:paraId="5195E3F5">
      <w:pPr>
        <w:spacing w:line="600" w:lineRule="exact"/>
        <w:ind w:firstLine="645"/>
        <w:rPr>
          <w:rStyle w:val="34"/>
          <w:rFonts w:hint="default"/>
        </w:rPr>
      </w:pPr>
      <w:r>
        <w:rPr>
          <w:rStyle w:val="34"/>
          <w:rFonts w:hint="default"/>
        </w:rPr>
        <w:t>按照攀枝花市人才工作领导小组《关于印发&lt;“攀枝花优秀人才选拔培养计划”实施细则&gt;的通知》（攀人才〔2018〕3 号）要求，“攀枝花优秀人才选拔培养计划”入选者经费，由市财政局直接划拨到用人单位，专款用于对入选者本人的培养，包括入选者参与的创新研究、团队建设、合作交流等。</w:t>
      </w:r>
    </w:p>
    <w:p w14:paraId="445B14C8">
      <w:pPr>
        <w:spacing w:line="600" w:lineRule="exact"/>
        <w:ind w:firstLine="645"/>
        <w:rPr>
          <w:rFonts w:eastAsia="楷体_GB2312"/>
          <w:kern w:val="0"/>
          <w:sz w:val="32"/>
          <w:szCs w:val="32"/>
        </w:rPr>
      </w:pPr>
      <w:r>
        <w:rPr>
          <w:rFonts w:eastAsia="楷体_GB2312"/>
          <w:kern w:val="0"/>
          <w:sz w:val="32"/>
          <w:szCs w:val="32"/>
        </w:rPr>
        <w:t>（二）资金计划、到位及使用情况。</w:t>
      </w:r>
    </w:p>
    <w:p w14:paraId="6F226332">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1．资金计划。</w:t>
      </w:r>
    </w:p>
    <w:p w14:paraId="1A4B20A1">
      <w:pPr>
        <w:spacing w:line="600" w:lineRule="exact"/>
        <w:ind w:firstLine="645"/>
        <w:rPr>
          <w:rStyle w:val="34"/>
          <w:rFonts w:hint="default"/>
        </w:rPr>
      </w:pPr>
      <w:r>
        <w:rPr>
          <w:rStyle w:val="34"/>
          <w:rFonts w:hint="default"/>
        </w:rPr>
        <w:t>2019年确定王凯等11人为攀枝花“钒钛之光”创业领军人才入选者，申请经费33万元。</w:t>
      </w:r>
    </w:p>
    <w:p w14:paraId="28A6A4EC">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2．资金到位。</w:t>
      </w:r>
    </w:p>
    <w:p w14:paraId="71A796C9">
      <w:pPr>
        <w:spacing w:line="600" w:lineRule="exact"/>
        <w:ind w:firstLine="645"/>
        <w:rPr>
          <w:rStyle w:val="34"/>
          <w:rFonts w:hint="default"/>
        </w:rPr>
      </w:pPr>
      <w:r>
        <w:rPr>
          <w:rStyle w:val="34"/>
          <w:rFonts w:hint="default"/>
        </w:rPr>
        <w:t>2021年6月，市财政局拨付2020年优秀人才选拔培养计划经费（“钒钛之光”创业领军人才）33万元至我局，</w:t>
      </w:r>
      <w:r>
        <w:rPr>
          <w:rFonts w:eastAsia="仿宋_GB2312"/>
          <w:kern w:val="0"/>
          <w:sz w:val="32"/>
          <w:szCs w:val="32"/>
        </w:rPr>
        <w:t>全部为财政拨款资金。</w:t>
      </w:r>
    </w:p>
    <w:p w14:paraId="1A7548CB">
      <w:pPr>
        <w:spacing w:line="600" w:lineRule="exact"/>
        <w:ind w:firstLine="645"/>
        <w:rPr>
          <w:rStyle w:val="34"/>
          <w:rFonts w:hint="default"/>
        </w:rPr>
      </w:pPr>
      <w:r>
        <w:rPr>
          <w:rStyle w:val="34"/>
          <w:rFonts w:hint="default"/>
        </w:rPr>
        <w:t>3.</w:t>
      </w:r>
      <w:r>
        <w:rPr>
          <w:rFonts w:eastAsia="楷体_GB2312"/>
          <w:kern w:val="0"/>
          <w:sz w:val="32"/>
          <w:szCs w:val="32"/>
        </w:rPr>
        <w:t xml:space="preserve"> 资金使用。</w:t>
      </w:r>
    </w:p>
    <w:p w14:paraId="6DDE8B13">
      <w:pPr>
        <w:autoSpaceDE w:val="0"/>
        <w:autoSpaceDN w:val="0"/>
        <w:adjustRightInd w:val="0"/>
        <w:spacing w:line="600" w:lineRule="exact"/>
        <w:ind w:firstLine="640" w:firstLineChars="200"/>
        <w:jc w:val="left"/>
        <w:rPr>
          <w:rFonts w:eastAsia="仿宋_GB2312"/>
          <w:kern w:val="0"/>
          <w:sz w:val="32"/>
          <w:szCs w:val="32"/>
        </w:rPr>
      </w:pPr>
      <w:r>
        <w:rPr>
          <w:rStyle w:val="34"/>
          <w:rFonts w:hint="default"/>
        </w:rPr>
        <w:t>我局于2021年7月将33万元拨付至用人单位专款专用，</w:t>
      </w:r>
      <w:r>
        <w:rPr>
          <w:rFonts w:eastAsia="仿宋_GB2312"/>
          <w:kern w:val="0"/>
          <w:sz w:val="32"/>
          <w:szCs w:val="32"/>
        </w:rPr>
        <w:t>资金支付范围、支付标准、支付进度、支付依据等合规合法、与预算相符。</w:t>
      </w:r>
    </w:p>
    <w:p w14:paraId="3E72EF3D">
      <w:pPr>
        <w:spacing w:line="600" w:lineRule="exact"/>
        <w:ind w:firstLine="645"/>
        <w:rPr>
          <w:rFonts w:eastAsia="楷体_GB2312"/>
          <w:kern w:val="0"/>
          <w:sz w:val="32"/>
          <w:szCs w:val="32"/>
        </w:rPr>
      </w:pPr>
      <w:r>
        <w:rPr>
          <w:rFonts w:eastAsia="楷体_GB2312"/>
          <w:kern w:val="0"/>
          <w:sz w:val="32"/>
          <w:szCs w:val="32"/>
        </w:rPr>
        <w:t>（三）项目财务管理情况。</w:t>
      </w:r>
    </w:p>
    <w:p w14:paraId="71864B52">
      <w:pPr>
        <w:spacing w:line="600" w:lineRule="exact"/>
        <w:ind w:firstLine="645"/>
        <w:rPr>
          <w:rFonts w:eastAsia="黑体"/>
          <w:sz w:val="32"/>
          <w:szCs w:val="32"/>
          <w:shd w:val="clear" w:color="auto" w:fill="FFFFFF"/>
        </w:rPr>
      </w:pPr>
      <w:r>
        <w:rPr>
          <w:rFonts w:eastAsia="仿宋_GB2312"/>
          <w:kern w:val="0"/>
          <w:sz w:val="32"/>
          <w:szCs w:val="32"/>
        </w:rPr>
        <w:t>财务管理制度健全，严格执行财务管理制度，账务处理及时，会计核算规范。</w:t>
      </w:r>
    </w:p>
    <w:p w14:paraId="21480F8E">
      <w:pPr>
        <w:spacing w:line="600" w:lineRule="exact"/>
        <w:ind w:firstLine="645"/>
        <w:rPr>
          <w:rFonts w:eastAsia="黑体"/>
          <w:sz w:val="32"/>
          <w:szCs w:val="32"/>
          <w:shd w:val="clear" w:color="auto" w:fill="FFFFFF"/>
        </w:rPr>
      </w:pPr>
      <w:r>
        <w:rPr>
          <w:rFonts w:hAnsi="黑体" w:eastAsia="黑体"/>
          <w:sz w:val="32"/>
          <w:szCs w:val="32"/>
          <w:shd w:val="clear" w:color="auto" w:fill="FFFFFF"/>
        </w:rPr>
        <w:t>三、项目实施情及管理况</w:t>
      </w:r>
    </w:p>
    <w:p w14:paraId="7C178512">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（一）项目组织架构及实施流程。</w:t>
      </w:r>
      <w:r>
        <w:rPr>
          <w:rFonts w:eastAsia="仿宋_GB2312"/>
          <w:kern w:val="0"/>
          <w:sz w:val="32"/>
          <w:szCs w:val="32"/>
        </w:rPr>
        <w:t>无。</w:t>
      </w:r>
    </w:p>
    <w:p w14:paraId="1FD8F803">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（二）项目管理情况。</w:t>
      </w:r>
    </w:p>
    <w:p w14:paraId="6157B273">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严格执行相关法律法规及项目管理制度，严格按照单位财务管理制度执行资金支付。</w:t>
      </w:r>
    </w:p>
    <w:p w14:paraId="7742B9BE">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（三）项目监管情况。</w:t>
      </w:r>
    </w:p>
    <w:p w14:paraId="4DE2EEA4">
      <w:pPr>
        <w:autoSpaceDE w:val="0"/>
        <w:autoSpaceDN w:val="0"/>
        <w:adjustRightInd w:val="0"/>
        <w:spacing w:line="600" w:lineRule="exact"/>
        <w:ind w:firstLine="640" w:firstLineChars="200"/>
        <w:jc w:val="left"/>
        <w:rPr>
          <w:rFonts w:eastAsia="仿宋_GB2312"/>
          <w:sz w:val="32"/>
          <w:szCs w:val="32"/>
        </w:rPr>
      </w:pPr>
      <w:r>
        <w:rPr>
          <w:rFonts w:eastAsia="仿宋_GB2312"/>
          <w:sz w:val="32"/>
          <w:szCs w:val="32"/>
        </w:rPr>
        <w:t>严格执行项目监管要求，规范省级财政资金管理，提高资金使用效益，做好项目前期论证和前期手续协调办理工作。</w:t>
      </w:r>
    </w:p>
    <w:p w14:paraId="292DFD5D">
      <w:pPr>
        <w:spacing w:line="600" w:lineRule="exact"/>
        <w:ind w:firstLine="645"/>
        <w:rPr>
          <w:rFonts w:eastAsia="黑体"/>
          <w:kern w:val="0"/>
          <w:sz w:val="32"/>
          <w:szCs w:val="32"/>
        </w:rPr>
      </w:pPr>
      <w:r>
        <w:rPr>
          <w:rFonts w:hAnsi="黑体" w:eastAsia="黑体"/>
          <w:sz w:val="32"/>
          <w:szCs w:val="32"/>
          <w:shd w:val="clear" w:color="auto" w:fill="FFFFFF"/>
        </w:rPr>
        <w:t>四、</w:t>
      </w:r>
      <w:r>
        <w:rPr>
          <w:rFonts w:eastAsia="黑体"/>
          <w:kern w:val="0"/>
          <w:sz w:val="32"/>
          <w:szCs w:val="32"/>
        </w:rPr>
        <w:t>项目绩效情况</w:t>
      </w:r>
    </w:p>
    <w:p w14:paraId="6A550A4A">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（一）项目完成情况。</w:t>
      </w:r>
    </w:p>
    <w:p w14:paraId="04A58C05">
      <w:pPr>
        <w:spacing w:line="600" w:lineRule="exact"/>
        <w:ind w:firstLine="645"/>
        <w:rPr>
          <w:rStyle w:val="36"/>
          <w:rFonts w:eastAsia="仿宋_GB2312"/>
          <w:sz w:val="32"/>
          <w:szCs w:val="32"/>
        </w:rPr>
      </w:pPr>
      <w:r>
        <w:rPr>
          <w:rStyle w:val="34"/>
          <w:rFonts w:hint="default"/>
        </w:rPr>
        <w:t>根据《攀枝花市人才工作领导小组关于印发〈</w:t>
      </w:r>
      <w:r>
        <w:rPr>
          <w:rStyle w:val="35"/>
        </w:rPr>
        <w:t>“</w:t>
      </w:r>
      <w:r>
        <w:rPr>
          <w:rStyle w:val="34"/>
          <w:rFonts w:hint="default"/>
        </w:rPr>
        <w:t>攀枝花优秀人才选拔培养计划</w:t>
      </w:r>
      <w:r>
        <w:rPr>
          <w:rStyle w:val="35"/>
        </w:rPr>
        <w:t>”</w:t>
      </w:r>
      <w:r>
        <w:rPr>
          <w:rStyle w:val="34"/>
          <w:rFonts w:hint="default"/>
        </w:rPr>
        <w:t>实施细则〉的通知》（攀人才〔</w:t>
      </w:r>
      <w:r>
        <w:rPr>
          <w:rStyle w:val="35"/>
        </w:rPr>
        <w:t>2018</w:t>
      </w:r>
      <w:r>
        <w:rPr>
          <w:rStyle w:val="34"/>
          <w:rFonts w:hint="default"/>
        </w:rPr>
        <w:t>〕</w:t>
      </w:r>
      <w:r>
        <w:rPr>
          <w:rStyle w:val="35"/>
        </w:rPr>
        <w:t>3</w:t>
      </w:r>
      <w:r>
        <w:rPr>
          <w:rStyle w:val="34"/>
          <w:rFonts w:hint="default"/>
        </w:rPr>
        <w:t>号）要求，</w:t>
      </w:r>
      <w:r>
        <w:rPr>
          <w:rFonts w:eastAsia="仿宋_GB2312"/>
          <w:color w:val="000000"/>
          <w:sz w:val="32"/>
          <w:szCs w:val="32"/>
        </w:rPr>
        <w:t>从2018年起至2027年，重点围绕攀西经济区建设国家战略资源创新开发试验区，组织实施“钒钛之光”创业领军人才项目，每3年遴选一批，每批10名左右，培养周期为3年，计划支持30名。</w:t>
      </w:r>
    </w:p>
    <w:p w14:paraId="272ECDA4">
      <w:pPr>
        <w:spacing w:line="600" w:lineRule="exact"/>
        <w:ind w:firstLine="645"/>
        <w:rPr>
          <w:rFonts w:eastAsia="楷体_GB2312"/>
          <w:kern w:val="0"/>
          <w:sz w:val="32"/>
          <w:szCs w:val="32"/>
        </w:rPr>
      </w:pPr>
      <w:r>
        <w:rPr>
          <w:rFonts w:eastAsia="楷体_GB2312"/>
          <w:kern w:val="0"/>
          <w:sz w:val="32"/>
          <w:szCs w:val="32"/>
        </w:rPr>
        <w:t>（二）项目效益情况。</w:t>
      </w:r>
    </w:p>
    <w:p w14:paraId="3A98C3ED">
      <w:pPr>
        <w:autoSpaceDE w:val="0"/>
        <w:autoSpaceDN w:val="0"/>
        <w:adjustRightInd w:val="0"/>
        <w:spacing w:line="600" w:lineRule="exact"/>
        <w:ind w:firstLine="640" w:firstLineChars="200"/>
        <w:jc w:val="left"/>
        <w:rPr>
          <w:rFonts w:eastAsia="仿宋_GB2312"/>
          <w:kern w:val="0"/>
          <w:sz w:val="32"/>
          <w:szCs w:val="32"/>
        </w:rPr>
      </w:pPr>
      <w:r>
        <w:rPr>
          <w:rFonts w:eastAsia="仿宋_GB2312"/>
          <w:sz w:val="32"/>
          <w:szCs w:val="32"/>
        </w:rPr>
        <w:t>通过对“钒钛之光”创业领军人才培养，</w:t>
      </w:r>
      <w:r>
        <w:rPr>
          <w:rStyle w:val="34"/>
          <w:rFonts w:hint="default"/>
        </w:rPr>
        <w:t>提升攀枝花企业现代化管理水平，培养一批优秀的钒钛企业高级经营管理人才，</w:t>
      </w:r>
      <w:r>
        <w:rPr>
          <w:rFonts w:eastAsia="仿宋_GB2312"/>
          <w:sz w:val="32"/>
          <w:szCs w:val="32"/>
        </w:rPr>
        <w:t>实现企业可持续发展。</w:t>
      </w:r>
      <w:r>
        <w:rPr>
          <w:rFonts w:eastAsia="仿宋_GB2312"/>
          <w:kern w:val="0"/>
          <w:sz w:val="32"/>
          <w:szCs w:val="32"/>
        </w:rPr>
        <w:t>项目经济效益、社会效益、生态效益、可持续效益以及服务对象满意度等均达预期目标。</w:t>
      </w:r>
    </w:p>
    <w:p w14:paraId="28947DBC">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五、评价结论及建议</w:t>
      </w:r>
    </w:p>
    <w:p w14:paraId="7729788B">
      <w:pPr>
        <w:numPr>
          <w:ilvl w:val="0"/>
          <w:numId w:val="7"/>
        </w:numPr>
        <w:autoSpaceDE w:val="0"/>
        <w:autoSpaceDN w:val="0"/>
        <w:adjustRightInd w:val="0"/>
        <w:spacing w:line="600" w:lineRule="exact"/>
        <w:jc w:val="left"/>
        <w:rPr>
          <w:rFonts w:eastAsia="楷体_GB2312"/>
          <w:kern w:val="0"/>
          <w:sz w:val="32"/>
          <w:szCs w:val="32"/>
        </w:rPr>
      </w:pPr>
      <w:r>
        <w:rPr>
          <w:rFonts w:eastAsia="楷体_GB2312"/>
          <w:kern w:val="0"/>
          <w:sz w:val="32"/>
          <w:szCs w:val="32"/>
        </w:rPr>
        <w:t>评价结论。</w:t>
      </w:r>
    </w:p>
    <w:p w14:paraId="2C2A594E">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2021年“钒钛之光”创业领军人才培养项目的产出指标、效益指标、满意度指标均全面完成。项目决策、项目管理、项目绩效三个方面均完成较好。</w:t>
      </w:r>
    </w:p>
    <w:p w14:paraId="6601B4F6">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（二）存在的问题。</w:t>
      </w:r>
    </w:p>
    <w:p w14:paraId="36738E2D">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无。</w:t>
      </w:r>
    </w:p>
    <w:p w14:paraId="2883CCEE">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（三）相关建议。</w:t>
      </w:r>
    </w:p>
    <w:p w14:paraId="1535DF35">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无。</w:t>
      </w:r>
    </w:p>
    <w:p w14:paraId="71607B87">
      <w:pPr>
        <w:pStyle w:val="2"/>
        <w:spacing w:before="93"/>
        <w:rPr>
          <w:rFonts w:hint="eastAsia"/>
        </w:rPr>
      </w:pPr>
    </w:p>
    <w:p w14:paraId="67259636">
      <w:pPr>
        <w:widowControl/>
        <w:adjustRightInd w:val="0"/>
        <w:snapToGrid w:val="0"/>
        <w:spacing w:line="580"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附表：</w:t>
      </w:r>
    </w:p>
    <w:p w14:paraId="77F5F69A">
      <w:pPr>
        <w:pStyle w:val="2"/>
        <w:spacing w:before="93"/>
        <w:rPr>
          <w:rFonts w:ascii="Times New Roman"/>
          <w:b/>
          <w:sz w:val="32"/>
          <w:szCs w:val="32"/>
        </w:rPr>
      </w:pPr>
      <w:r>
        <w:rPr>
          <w:rFonts w:ascii="Times New Roman"/>
          <w:b/>
          <w:sz w:val="32"/>
          <w:szCs w:val="32"/>
        </w:rPr>
        <w:t>2021年</w:t>
      </w:r>
      <w:r>
        <w:rPr>
          <w:rFonts w:hint="eastAsia" w:ascii="Times New Roman"/>
          <w:b/>
          <w:sz w:val="32"/>
          <w:szCs w:val="32"/>
        </w:rPr>
        <w:t>电子政务外网和协同办公平台运行维护项目自评表</w:t>
      </w:r>
    </w:p>
    <w:tbl>
      <w:tblPr>
        <w:tblStyle w:val="13"/>
        <w:tblW w:w="10490" w:type="dxa"/>
        <w:tblInd w:w="-743" w:type="dxa"/>
        <w:tblLayout w:type="autofit"/>
        <w:tblCellMar>
          <w:top w:w="0" w:type="dxa"/>
          <w:left w:w="108" w:type="dxa"/>
          <w:bottom w:w="0" w:type="dxa"/>
          <w:right w:w="108" w:type="dxa"/>
        </w:tblCellMar>
      </w:tblPr>
      <w:tblGrid>
        <w:gridCol w:w="1264"/>
        <w:gridCol w:w="1262"/>
        <w:gridCol w:w="877"/>
        <w:gridCol w:w="567"/>
        <w:gridCol w:w="1276"/>
        <w:gridCol w:w="1134"/>
        <w:gridCol w:w="2126"/>
        <w:gridCol w:w="142"/>
        <w:gridCol w:w="1842"/>
      </w:tblGrid>
      <w:tr w14:paraId="75DAD36B">
        <w:tblPrEx>
          <w:tblCellMar>
            <w:top w:w="0" w:type="dxa"/>
            <w:left w:w="108" w:type="dxa"/>
            <w:bottom w:w="0" w:type="dxa"/>
            <w:right w:w="108" w:type="dxa"/>
          </w:tblCellMar>
        </w:tblPrEx>
        <w:trPr>
          <w:trHeight w:val="495" w:hRule="atLeast"/>
        </w:trPr>
        <w:tc>
          <w:tcPr>
            <w:tcW w:w="340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C0E9886">
            <w:pPr>
              <w:widowControl/>
              <w:jc w:val="center"/>
              <w:rPr>
                <w:color w:val="000000"/>
                <w:kern w:val="0"/>
                <w:sz w:val="20"/>
                <w:szCs w:val="20"/>
              </w:rPr>
            </w:pPr>
            <w:r>
              <w:rPr>
                <w:color w:val="000000"/>
                <w:kern w:val="0"/>
                <w:sz w:val="20"/>
                <w:szCs w:val="20"/>
              </w:rPr>
              <w:t>主管部门及代码</w:t>
            </w:r>
          </w:p>
        </w:tc>
        <w:tc>
          <w:tcPr>
            <w:tcW w:w="2977" w:type="dxa"/>
            <w:gridSpan w:val="3"/>
            <w:tcBorders>
              <w:top w:val="single" w:color="auto" w:sz="4" w:space="0"/>
              <w:left w:val="nil"/>
              <w:bottom w:val="single" w:color="auto" w:sz="4" w:space="0"/>
              <w:right w:val="single" w:color="auto" w:sz="4" w:space="0"/>
            </w:tcBorders>
            <w:shd w:val="clear" w:color="auto" w:fill="auto"/>
            <w:vAlign w:val="center"/>
          </w:tcPr>
          <w:p w14:paraId="7605B189">
            <w:pPr>
              <w:widowControl/>
              <w:rPr>
                <w:color w:val="000000"/>
                <w:kern w:val="0"/>
                <w:sz w:val="20"/>
                <w:szCs w:val="20"/>
              </w:rPr>
            </w:pPr>
            <w:r>
              <w:rPr>
                <w:color w:val="000000"/>
                <w:kern w:val="0"/>
                <w:sz w:val="20"/>
                <w:szCs w:val="20"/>
              </w:rPr>
              <w:t>攀枝花市经济和信息化局</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14:paraId="7A4A68E1">
            <w:pPr>
              <w:widowControl/>
              <w:jc w:val="center"/>
              <w:rPr>
                <w:color w:val="000000"/>
                <w:kern w:val="0"/>
                <w:sz w:val="20"/>
                <w:szCs w:val="20"/>
              </w:rPr>
            </w:pPr>
            <w:r>
              <w:rPr>
                <w:color w:val="000000"/>
                <w:kern w:val="0"/>
                <w:sz w:val="20"/>
                <w:szCs w:val="20"/>
              </w:rPr>
              <w:t>实施单位</w:t>
            </w:r>
          </w:p>
        </w:tc>
        <w:tc>
          <w:tcPr>
            <w:tcW w:w="1842" w:type="dxa"/>
            <w:tcBorders>
              <w:top w:val="single" w:color="auto" w:sz="4" w:space="0"/>
              <w:left w:val="nil"/>
              <w:bottom w:val="single" w:color="auto" w:sz="4" w:space="0"/>
              <w:right w:val="single" w:color="auto" w:sz="4" w:space="0"/>
            </w:tcBorders>
            <w:shd w:val="clear" w:color="auto" w:fill="auto"/>
            <w:vAlign w:val="center"/>
          </w:tcPr>
          <w:p w14:paraId="5A57EF18">
            <w:pPr>
              <w:widowControl/>
              <w:jc w:val="center"/>
              <w:rPr>
                <w:color w:val="000000"/>
                <w:kern w:val="0"/>
                <w:sz w:val="20"/>
                <w:szCs w:val="20"/>
              </w:rPr>
            </w:pPr>
            <w:r>
              <w:rPr>
                <w:rFonts w:hint="eastAsia"/>
                <w:color w:val="000000"/>
                <w:kern w:val="0"/>
                <w:sz w:val="20"/>
                <w:szCs w:val="20"/>
              </w:rPr>
              <w:t>市大数据产业发展中心</w:t>
            </w:r>
          </w:p>
        </w:tc>
      </w:tr>
      <w:tr w14:paraId="7C3E958C">
        <w:tblPrEx>
          <w:tblCellMar>
            <w:top w:w="0" w:type="dxa"/>
            <w:left w:w="108" w:type="dxa"/>
            <w:bottom w:w="0" w:type="dxa"/>
            <w:right w:w="108" w:type="dxa"/>
          </w:tblCellMar>
        </w:tblPrEx>
        <w:trPr>
          <w:trHeight w:val="285" w:hRule="atLeast"/>
        </w:trPr>
        <w:tc>
          <w:tcPr>
            <w:tcW w:w="340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A6AAFC">
            <w:pPr>
              <w:widowControl/>
              <w:jc w:val="center"/>
              <w:rPr>
                <w:color w:val="000000"/>
                <w:kern w:val="0"/>
                <w:sz w:val="20"/>
                <w:szCs w:val="20"/>
              </w:rPr>
            </w:pPr>
            <w:r>
              <w:rPr>
                <w:color w:val="000000"/>
                <w:kern w:val="0"/>
                <w:sz w:val="20"/>
                <w:szCs w:val="20"/>
              </w:rPr>
              <w:t>项目预算执行情况（万元）</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14:paraId="2AADA292">
            <w:pPr>
              <w:widowControl/>
              <w:jc w:val="left"/>
              <w:rPr>
                <w:color w:val="000000"/>
                <w:kern w:val="0"/>
                <w:sz w:val="20"/>
                <w:szCs w:val="20"/>
              </w:rPr>
            </w:pPr>
            <w:r>
              <w:rPr>
                <w:color w:val="000000"/>
                <w:kern w:val="0"/>
                <w:sz w:val="20"/>
                <w:szCs w:val="20"/>
              </w:rPr>
              <w:t xml:space="preserve"> 预算数：</w:t>
            </w:r>
          </w:p>
        </w:tc>
        <w:tc>
          <w:tcPr>
            <w:tcW w:w="1134" w:type="dxa"/>
            <w:tcBorders>
              <w:top w:val="nil"/>
              <w:left w:val="nil"/>
              <w:bottom w:val="single" w:color="auto" w:sz="4" w:space="0"/>
              <w:right w:val="single" w:color="auto" w:sz="4" w:space="0"/>
            </w:tcBorders>
            <w:shd w:val="clear" w:color="auto" w:fill="auto"/>
            <w:vAlign w:val="center"/>
          </w:tcPr>
          <w:p w14:paraId="03D4A727">
            <w:pPr>
              <w:widowControl/>
              <w:jc w:val="center"/>
              <w:rPr>
                <w:color w:val="000000"/>
                <w:kern w:val="0"/>
                <w:sz w:val="20"/>
                <w:szCs w:val="20"/>
              </w:rPr>
            </w:pPr>
            <w:r>
              <w:rPr>
                <w:rFonts w:hint="eastAsia"/>
                <w:color w:val="000000"/>
                <w:kern w:val="0"/>
                <w:sz w:val="20"/>
                <w:szCs w:val="20"/>
              </w:rPr>
              <w:t>84.55</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14:paraId="031B3308">
            <w:pPr>
              <w:widowControl/>
              <w:jc w:val="left"/>
              <w:rPr>
                <w:color w:val="000000"/>
                <w:kern w:val="0"/>
                <w:sz w:val="20"/>
                <w:szCs w:val="20"/>
              </w:rPr>
            </w:pPr>
            <w:r>
              <w:rPr>
                <w:color w:val="000000"/>
                <w:kern w:val="0"/>
                <w:sz w:val="20"/>
                <w:szCs w:val="20"/>
              </w:rPr>
              <w:t xml:space="preserve"> 执行数：</w:t>
            </w:r>
          </w:p>
        </w:tc>
        <w:tc>
          <w:tcPr>
            <w:tcW w:w="1842" w:type="dxa"/>
            <w:tcBorders>
              <w:top w:val="nil"/>
              <w:left w:val="nil"/>
              <w:bottom w:val="single" w:color="auto" w:sz="4" w:space="0"/>
              <w:right w:val="single" w:color="auto" w:sz="4" w:space="0"/>
            </w:tcBorders>
            <w:shd w:val="clear" w:color="auto" w:fill="auto"/>
            <w:vAlign w:val="center"/>
          </w:tcPr>
          <w:p w14:paraId="7010BCC2">
            <w:pPr>
              <w:widowControl/>
              <w:jc w:val="center"/>
              <w:rPr>
                <w:color w:val="000000"/>
                <w:kern w:val="0"/>
                <w:sz w:val="20"/>
                <w:szCs w:val="20"/>
              </w:rPr>
            </w:pPr>
            <w:r>
              <w:rPr>
                <w:rFonts w:hint="eastAsia"/>
                <w:color w:val="000000"/>
                <w:kern w:val="0"/>
                <w:sz w:val="20"/>
                <w:szCs w:val="20"/>
              </w:rPr>
              <w:t>84.55</w:t>
            </w:r>
          </w:p>
        </w:tc>
      </w:tr>
      <w:tr w14:paraId="0442973C">
        <w:tblPrEx>
          <w:tblCellMar>
            <w:top w:w="0" w:type="dxa"/>
            <w:left w:w="108" w:type="dxa"/>
            <w:bottom w:w="0" w:type="dxa"/>
            <w:right w:w="108" w:type="dxa"/>
          </w:tblCellMar>
        </w:tblPrEx>
        <w:trPr>
          <w:trHeight w:val="345" w:hRule="atLeast"/>
        </w:trPr>
        <w:tc>
          <w:tcPr>
            <w:tcW w:w="3403" w:type="dxa"/>
            <w:gridSpan w:val="3"/>
            <w:vMerge w:val="continue"/>
            <w:tcBorders>
              <w:top w:val="single" w:color="auto" w:sz="4" w:space="0"/>
              <w:left w:val="single" w:color="auto" w:sz="4" w:space="0"/>
              <w:bottom w:val="single" w:color="auto" w:sz="4" w:space="0"/>
              <w:right w:val="single" w:color="auto" w:sz="4" w:space="0"/>
            </w:tcBorders>
            <w:vAlign w:val="center"/>
          </w:tcPr>
          <w:p w14:paraId="108E7FCD">
            <w:pPr>
              <w:widowControl/>
              <w:jc w:val="left"/>
              <w:rPr>
                <w:color w:val="000000"/>
                <w:kern w:val="0"/>
                <w:sz w:val="20"/>
                <w:szCs w:val="20"/>
              </w:rPr>
            </w:pPr>
          </w:p>
        </w:tc>
        <w:tc>
          <w:tcPr>
            <w:tcW w:w="184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FCA33B">
            <w:pPr>
              <w:widowControl/>
              <w:jc w:val="center"/>
              <w:rPr>
                <w:color w:val="000000"/>
                <w:kern w:val="0"/>
                <w:sz w:val="20"/>
                <w:szCs w:val="20"/>
              </w:rPr>
            </w:pPr>
            <w:r>
              <w:rPr>
                <w:color w:val="000000"/>
                <w:kern w:val="0"/>
                <w:sz w:val="20"/>
                <w:szCs w:val="20"/>
              </w:rPr>
              <w:t>其中：财政拨款</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3B760C5E">
            <w:pPr>
              <w:widowControl/>
              <w:jc w:val="center"/>
              <w:rPr>
                <w:color w:val="000000"/>
                <w:kern w:val="0"/>
                <w:sz w:val="20"/>
                <w:szCs w:val="20"/>
              </w:rPr>
            </w:pPr>
            <w:r>
              <w:rPr>
                <w:rFonts w:hint="eastAsia"/>
                <w:color w:val="000000"/>
                <w:kern w:val="0"/>
                <w:sz w:val="20"/>
                <w:szCs w:val="20"/>
              </w:rPr>
              <w:t>84.55</w:t>
            </w:r>
          </w:p>
        </w:tc>
        <w:tc>
          <w:tcPr>
            <w:tcW w:w="226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DBFD4B">
            <w:pPr>
              <w:widowControl/>
              <w:jc w:val="center"/>
              <w:rPr>
                <w:color w:val="000000"/>
                <w:kern w:val="0"/>
                <w:sz w:val="20"/>
                <w:szCs w:val="20"/>
              </w:rPr>
            </w:pPr>
            <w:r>
              <w:rPr>
                <w:color w:val="000000"/>
                <w:kern w:val="0"/>
                <w:sz w:val="20"/>
                <w:szCs w:val="20"/>
              </w:rPr>
              <w:t>其中：财政拨款</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14:paraId="6F4307BA">
            <w:pPr>
              <w:widowControl/>
              <w:jc w:val="center"/>
              <w:rPr>
                <w:color w:val="000000"/>
                <w:kern w:val="0"/>
                <w:sz w:val="20"/>
                <w:szCs w:val="20"/>
              </w:rPr>
            </w:pPr>
            <w:r>
              <w:rPr>
                <w:rFonts w:hint="eastAsia"/>
                <w:color w:val="000000"/>
                <w:kern w:val="0"/>
                <w:sz w:val="20"/>
                <w:szCs w:val="20"/>
              </w:rPr>
              <w:t>84.55</w:t>
            </w:r>
          </w:p>
        </w:tc>
      </w:tr>
      <w:tr w14:paraId="6820F699">
        <w:tblPrEx>
          <w:tblCellMar>
            <w:top w:w="0" w:type="dxa"/>
            <w:left w:w="108" w:type="dxa"/>
            <w:bottom w:w="0" w:type="dxa"/>
            <w:right w:w="108" w:type="dxa"/>
          </w:tblCellMar>
        </w:tblPrEx>
        <w:trPr>
          <w:trHeight w:val="312" w:hRule="atLeast"/>
        </w:trPr>
        <w:tc>
          <w:tcPr>
            <w:tcW w:w="3403" w:type="dxa"/>
            <w:gridSpan w:val="3"/>
            <w:vMerge w:val="continue"/>
            <w:tcBorders>
              <w:top w:val="single" w:color="auto" w:sz="4" w:space="0"/>
              <w:left w:val="single" w:color="auto" w:sz="4" w:space="0"/>
              <w:bottom w:val="single" w:color="auto" w:sz="4" w:space="0"/>
              <w:right w:val="single" w:color="auto" w:sz="4" w:space="0"/>
            </w:tcBorders>
            <w:vAlign w:val="center"/>
          </w:tcPr>
          <w:p w14:paraId="35FD12B9">
            <w:pPr>
              <w:widowControl/>
              <w:jc w:val="left"/>
              <w:rPr>
                <w:color w:val="000000"/>
                <w:kern w:val="0"/>
                <w:sz w:val="20"/>
                <w:szCs w:val="20"/>
              </w:rPr>
            </w:pPr>
          </w:p>
        </w:tc>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14:paraId="27589D1C">
            <w:pPr>
              <w:widowControl/>
              <w:jc w:val="left"/>
              <w:rPr>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14:paraId="06C0DF65">
            <w:pPr>
              <w:widowControl/>
              <w:jc w:val="left"/>
              <w:rPr>
                <w:color w:val="000000"/>
                <w:kern w:val="0"/>
                <w:sz w:val="20"/>
                <w:szCs w:val="20"/>
              </w:rPr>
            </w:pPr>
          </w:p>
        </w:tc>
        <w:tc>
          <w:tcPr>
            <w:tcW w:w="2268" w:type="dxa"/>
            <w:gridSpan w:val="2"/>
            <w:vMerge w:val="continue"/>
            <w:tcBorders>
              <w:top w:val="single" w:color="auto" w:sz="4" w:space="0"/>
              <w:left w:val="single" w:color="auto" w:sz="4" w:space="0"/>
              <w:bottom w:val="single" w:color="auto" w:sz="4" w:space="0"/>
              <w:right w:val="single" w:color="auto" w:sz="4" w:space="0"/>
            </w:tcBorders>
            <w:vAlign w:val="center"/>
          </w:tcPr>
          <w:p w14:paraId="6ACCE1BC">
            <w:pPr>
              <w:widowControl/>
              <w:jc w:val="left"/>
              <w:rPr>
                <w:color w:val="000000"/>
                <w:kern w:val="0"/>
                <w:sz w:val="20"/>
                <w:szCs w:val="20"/>
              </w:rPr>
            </w:pPr>
          </w:p>
        </w:tc>
        <w:tc>
          <w:tcPr>
            <w:tcW w:w="1842" w:type="dxa"/>
            <w:vMerge w:val="continue"/>
            <w:tcBorders>
              <w:top w:val="nil"/>
              <w:left w:val="single" w:color="auto" w:sz="4" w:space="0"/>
              <w:bottom w:val="single" w:color="auto" w:sz="4" w:space="0"/>
              <w:right w:val="single" w:color="auto" w:sz="4" w:space="0"/>
            </w:tcBorders>
            <w:vAlign w:val="center"/>
          </w:tcPr>
          <w:p w14:paraId="4CEDB84F">
            <w:pPr>
              <w:widowControl/>
              <w:jc w:val="left"/>
              <w:rPr>
                <w:color w:val="000000"/>
                <w:kern w:val="0"/>
                <w:sz w:val="20"/>
                <w:szCs w:val="20"/>
              </w:rPr>
            </w:pPr>
          </w:p>
        </w:tc>
      </w:tr>
      <w:tr w14:paraId="4F04F337">
        <w:tblPrEx>
          <w:tblCellMar>
            <w:top w:w="0" w:type="dxa"/>
            <w:left w:w="108" w:type="dxa"/>
            <w:bottom w:w="0" w:type="dxa"/>
            <w:right w:w="108" w:type="dxa"/>
          </w:tblCellMar>
        </w:tblPrEx>
        <w:trPr>
          <w:trHeight w:val="345" w:hRule="atLeast"/>
        </w:trPr>
        <w:tc>
          <w:tcPr>
            <w:tcW w:w="3403" w:type="dxa"/>
            <w:gridSpan w:val="3"/>
            <w:vMerge w:val="continue"/>
            <w:tcBorders>
              <w:top w:val="single" w:color="auto" w:sz="4" w:space="0"/>
              <w:left w:val="single" w:color="auto" w:sz="4" w:space="0"/>
              <w:bottom w:val="single" w:color="auto" w:sz="4" w:space="0"/>
              <w:right w:val="single" w:color="auto" w:sz="4" w:space="0"/>
            </w:tcBorders>
            <w:vAlign w:val="center"/>
          </w:tcPr>
          <w:p w14:paraId="1B5951D7">
            <w:pPr>
              <w:widowControl/>
              <w:jc w:val="left"/>
              <w:rPr>
                <w:color w:val="000000"/>
                <w:kern w:val="0"/>
                <w:sz w:val="20"/>
                <w:szCs w:val="20"/>
              </w:rPr>
            </w:pP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14:paraId="16CEDF71">
            <w:pPr>
              <w:widowControl/>
              <w:jc w:val="center"/>
              <w:rPr>
                <w:color w:val="000000"/>
                <w:kern w:val="0"/>
                <w:sz w:val="20"/>
                <w:szCs w:val="20"/>
              </w:rPr>
            </w:pPr>
            <w:r>
              <w:rPr>
                <w:color w:val="000000"/>
                <w:kern w:val="0"/>
                <w:sz w:val="20"/>
                <w:szCs w:val="20"/>
              </w:rPr>
              <w:t>其他资金</w:t>
            </w:r>
          </w:p>
        </w:tc>
        <w:tc>
          <w:tcPr>
            <w:tcW w:w="1134" w:type="dxa"/>
            <w:tcBorders>
              <w:top w:val="nil"/>
              <w:left w:val="nil"/>
              <w:bottom w:val="single" w:color="auto" w:sz="4" w:space="0"/>
              <w:right w:val="single" w:color="auto" w:sz="4" w:space="0"/>
            </w:tcBorders>
            <w:shd w:val="clear" w:color="auto" w:fill="auto"/>
            <w:vAlign w:val="center"/>
          </w:tcPr>
          <w:p w14:paraId="111F8F5F">
            <w:pPr>
              <w:widowControl/>
              <w:jc w:val="center"/>
              <w:rPr>
                <w:color w:val="000000"/>
                <w:kern w:val="0"/>
                <w:sz w:val="20"/>
                <w:szCs w:val="20"/>
              </w:rPr>
            </w:pPr>
            <w:r>
              <w:rPr>
                <w:color w:val="000000"/>
                <w:kern w:val="0"/>
                <w:sz w:val="20"/>
                <w:szCs w:val="20"/>
              </w:rPr>
              <w:t>0</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14:paraId="61EA7EDE">
            <w:pPr>
              <w:widowControl/>
              <w:ind w:firstLine="1100" w:firstLineChars="550"/>
              <w:jc w:val="left"/>
              <w:rPr>
                <w:color w:val="000000"/>
                <w:kern w:val="0"/>
                <w:sz w:val="20"/>
                <w:szCs w:val="20"/>
              </w:rPr>
            </w:pPr>
            <w:r>
              <w:rPr>
                <w:color w:val="000000"/>
                <w:kern w:val="0"/>
                <w:sz w:val="20"/>
                <w:szCs w:val="20"/>
              </w:rPr>
              <w:t>其他资金</w:t>
            </w:r>
          </w:p>
        </w:tc>
        <w:tc>
          <w:tcPr>
            <w:tcW w:w="1842" w:type="dxa"/>
            <w:tcBorders>
              <w:top w:val="nil"/>
              <w:left w:val="nil"/>
              <w:bottom w:val="single" w:color="auto" w:sz="4" w:space="0"/>
              <w:right w:val="single" w:color="auto" w:sz="4" w:space="0"/>
            </w:tcBorders>
            <w:shd w:val="clear" w:color="auto" w:fill="auto"/>
            <w:vAlign w:val="center"/>
          </w:tcPr>
          <w:p w14:paraId="01C2B6BA">
            <w:pPr>
              <w:widowControl/>
              <w:jc w:val="center"/>
              <w:rPr>
                <w:color w:val="000000"/>
                <w:kern w:val="0"/>
                <w:sz w:val="20"/>
                <w:szCs w:val="20"/>
              </w:rPr>
            </w:pPr>
            <w:r>
              <w:rPr>
                <w:color w:val="000000"/>
                <w:kern w:val="0"/>
                <w:sz w:val="20"/>
                <w:szCs w:val="20"/>
              </w:rPr>
              <w:t>0</w:t>
            </w:r>
          </w:p>
        </w:tc>
      </w:tr>
      <w:tr w14:paraId="4766DB3B">
        <w:tblPrEx>
          <w:tblCellMar>
            <w:top w:w="0" w:type="dxa"/>
            <w:left w:w="108" w:type="dxa"/>
            <w:bottom w:w="0" w:type="dxa"/>
            <w:right w:w="108" w:type="dxa"/>
          </w:tblCellMar>
        </w:tblPrEx>
        <w:trPr>
          <w:trHeight w:val="345" w:hRule="atLeast"/>
        </w:trPr>
        <w:tc>
          <w:tcPr>
            <w:tcW w:w="1264" w:type="dxa"/>
            <w:vMerge w:val="restart"/>
            <w:tcBorders>
              <w:top w:val="nil"/>
              <w:left w:val="single" w:color="auto" w:sz="4" w:space="0"/>
              <w:bottom w:val="single" w:color="auto" w:sz="4" w:space="0"/>
              <w:right w:val="single" w:color="auto" w:sz="4" w:space="0"/>
            </w:tcBorders>
            <w:shd w:val="clear" w:color="auto" w:fill="auto"/>
            <w:vAlign w:val="center"/>
          </w:tcPr>
          <w:p w14:paraId="577D70A6">
            <w:pPr>
              <w:widowControl/>
              <w:jc w:val="center"/>
              <w:rPr>
                <w:color w:val="000000"/>
                <w:kern w:val="0"/>
                <w:sz w:val="20"/>
                <w:szCs w:val="20"/>
              </w:rPr>
            </w:pPr>
            <w:r>
              <w:rPr>
                <w:color w:val="000000"/>
                <w:kern w:val="0"/>
                <w:sz w:val="20"/>
                <w:szCs w:val="20"/>
              </w:rPr>
              <w:t>年度总体目标完成情况</w:t>
            </w:r>
          </w:p>
        </w:tc>
        <w:tc>
          <w:tcPr>
            <w:tcW w:w="5116" w:type="dxa"/>
            <w:gridSpan w:val="5"/>
            <w:tcBorders>
              <w:top w:val="single" w:color="auto" w:sz="4" w:space="0"/>
              <w:left w:val="nil"/>
              <w:bottom w:val="single" w:color="auto" w:sz="4" w:space="0"/>
              <w:right w:val="single" w:color="auto" w:sz="4" w:space="0"/>
            </w:tcBorders>
            <w:shd w:val="clear" w:color="auto" w:fill="auto"/>
            <w:vAlign w:val="center"/>
          </w:tcPr>
          <w:p w14:paraId="7F729AA0">
            <w:pPr>
              <w:widowControl/>
              <w:jc w:val="center"/>
              <w:rPr>
                <w:color w:val="000000"/>
                <w:kern w:val="0"/>
                <w:sz w:val="20"/>
                <w:szCs w:val="20"/>
              </w:rPr>
            </w:pPr>
            <w:r>
              <w:rPr>
                <w:color w:val="000000"/>
                <w:kern w:val="0"/>
                <w:sz w:val="20"/>
                <w:szCs w:val="20"/>
              </w:rPr>
              <w:t>预期目标</w:t>
            </w:r>
          </w:p>
        </w:tc>
        <w:tc>
          <w:tcPr>
            <w:tcW w:w="4110" w:type="dxa"/>
            <w:gridSpan w:val="3"/>
            <w:tcBorders>
              <w:top w:val="single" w:color="auto" w:sz="4" w:space="0"/>
              <w:left w:val="nil"/>
              <w:bottom w:val="single" w:color="auto" w:sz="4" w:space="0"/>
              <w:right w:val="single" w:color="auto" w:sz="4" w:space="0"/>
            </w:tcBorders>
            <w:shd w:val="clear" w:color="auto" w:fill="auto"/>
            <w:vAlign w:val="center"/>
          </w:tcPr>
          <w:p w14:paraId="6F38AFA4">
            <w:pPr>
              <w:widowControl/>
              <w:jc w:val="center"/>
              <w:rPr>
                <w:color w:val="000000"/>
                <w:kern w:val="0"/>
                <w:sz w:val="20"/>
                <w:szCs w:val="20"/>
              </w:rPr>
            </w:pPr>
            <w:r>
              <w:rPr>
                <w:color w:val="000000"/>
                <w:kern w:val="0"/>
                <w:sz w:val="20"/>
                <w:szCs w:val="20"/>
              </w:rPr>
              <w:t>目标实际完成情况</w:t>
            </w:r>
          </w:p>
        </w:tc>
      </w:tr>
      <w:tr w14:paraId="13F73701">
        <w:tblPrEx>
          <w:tblCellMar>
            <w:top w:w="0" w:type="dxa"/>
            <w:left w:w="108" w:type="dxa"/>
            <w:bottom w:w="0" w:type="dxa"/>
            <w:right w:w="108" w:type="dxa"/>
          </w:tblCellMar>
        </w:tblPrEx>
        <w:trPr>
          <w:trHeight w:val="1260" w:hRule="atLeast"/>
        </w:trPr>
        <w:tc>
          <w:tcPr>
            <w:tcW w:w="1264" w:type="dxa"/>
            <w:vMerge w:val="continue"/>
            <w:tcBorders>
              <w:top w:val="nil"/>
              <w:left w:val="single" w:color="auto" w:sz="4" w:space="0"/>
              <w:bottom w:val="single" w:color="auto" w:sz="4" w:space="0"/>
              <w:right w:val="single" w:color="auto" w:sz="4" w:space="0"/>
            </w:tcBorders>
            <w:vAlign w:val="center"/>
          </w:tcPr>
          <w:p w14:paraId="1F3AA151">
            <w:pPr>
              <w:widowControl/>
              <w:jc w:val="left"/>
              <w:rPr>
                <w:color w:val="000000"/>
                <w:kern w:val="0"/>
                <w:sz w:val="20"/>
                <w:szCs w:val="20"/>
              </w:rPr>
            </w:pPr>
          </w:p>
        </w:tc>
        <w:tc>
          <w:tcPr>
            <w:tcW w:w="5116" w:type="dxa"/>
            <w:gridSpan w:val="5"/>
            <w:tcBorders>
              <w:top w:val="single" w:color="auto" w:sz="4" w:space="0"/>
              <w:left w:val="nil"/>
              <w:bottom w:val="single" w:color="auto" w:sz="4" w:space="0"/>
              <w:right w:val="single" w:color="auto" w:sz="4" w:space="0"/>
            </w:tcBorders>
            <w:shd w:val="clear" w:color="auto" w:fill="auto"/>
            <w:vAlign w:val="center"/>
          </w:tcPr>
          <w:p w14:paraId="0D41CEF4">
            <w:pPr>
              <w:widowControl/>
              <w:jc w:val="left"/>
              <w:rPr>
                <w:color w:val="000000"/>
                <w:kern w:val="0"/>
                <w:sz w:val="20"/>
                <w:szCs w:val="20"/>
              </w:rPr>
            </w:pPr>
            <w:r>
              <w:rPr>
                <w:rFonts w:hint="eastAsia"/>
                <w:color w:val="000000"/>
                <w:kern w:val="0"/>
                <w:sz w:val="20"/>
                <w:szCs w:val="20"/>
              </w:rPr>
              <w:t>完成市级电子政务外网光纤租赁费和协同办公平台运行维护费拨付，继续开展提速降费工作，保障全市协同办公平台正常运行。</w:t>
            </w:r>
          </w:p>
        </w:tc>
        <w:tc>
          <w:tcPr>
            <w:tcW w:w="4110" w:type="dxa"/>
            <w:gridSpan w:val="3"/>
            <w:tcBorders>
              <w:top w:val="single" w:color="auto" w:sz="4" w:space="0"/>
              <w:left w:val="nil"/>
              <w:bottom w:val="single" w:color="auto" w:sz="4" w:space="0"/>
              <w:right w:val="single" w:color="auto" w:sz="4" w:space="0"/>
            </w:tcBorders>
            <w:shd w:val="clear" w:color="auto" w:fill="auto"/>
            <w:vAlign w:val="center"/>
          </w:tcPr>
          <w:p w14:paraId="280B7DE7">
            <w:pPr>
              <w:widowControl/>
              <w:jc w:val="left"/>
              <w:rPr>
                <w:color w:val="000000"/>
                <w:kern w:val="0"/>
                <w:sz w:val="20"/>
                <w:szCs w:val="20"/>
              </w:rPr>
            </w:pPr>
            <w:r>
              <w:rPr>
                <w:rFonts w:hint="eastAsia"/>
                <w:color w:val="000000"/>
                <w:kern w:val="0"/>
                <w:sz w:val="20"/>
                <w:szCs w:val="20"/>
              </w:rPr>
              <w:t>完成市级电子政务外网光纤租赁费和协同办公平台运行维护费支出，保障全市协同办公平台正常运行，满足提速降费工作需求，完成率100%。</w:t>
            </w:r>
          </w:p>
        </w:tc>
      </w:tr>
      <w:tr w14:paraId="22EB5238">
        <w:tblPrEx>
          <w:tblCellMar>
            <w:top w:w="0" w:type="dxa"/>
            <w:left w:w="108" w:type="dxa"/>
            <w:bottom w:w="0" w:type="dxa"/>
            <w:right w:w="108" w:type="dxa"/>
          </w:tblCellMar>
        </w:tblPrEx>
        <w:trPr>
          <w:trHeight w:val="345" w:hRule="atLeast"/>
        </w:trPr>
        <w:tc>
          <w:tcPr>
            <w:tcW w:w="1264" w:type="dxa"/>
            <w:vMerge w:val="restart"/>
            <w:tcBorders>
              <w:top w:val="nil"/>
              <w:left w:val="single" w:color="auto" w:sz="4" w:space="0"/>
              <w:bottom w:val="single" w:color="auto" w:sz="4" w:space="0"/>
              <w:right w:val="single" w:color="auto" w:sz="4" w:space="0"/>
            </w:tcBorders>
            <w:shd w:val="clear" w:color="auto" w:fill="auto"/>
            <w:vAlign w:val="center"/>
          </w:tcPr>
          <w:p w14:paraId="4B3C2DEA">
            <w:pPr>
              <w:widowControl/>
              <w:jc w:val="center"/>
              <w:rPr>
                <w:color w:val="000000"/>
                <w:kern w:val="0"/>
                <w:sz w:val="20"/>
                <w:szCs w:val="20"/>
              </w:rPr>
            </w:pPr>
            <w:r>
              <w:rPr>
                <w:color w:val="000000"/>
                <w:kern w:val="0"/>
                <w:sz w:val="20"/>
                <w:szCs w:val="20"/>
              </w:rPr>
              <w:t>年度绩效指标完成情况</w:t>
            </w:r>
          </w:p>
        </w:tc>
        <w:tc>
          <w:tcPr>
            <w:tcW w:w="1262" w:type="dxa"/>
            <w:tcBorders>
              <w:top w:val="nil"/>
              <w:left w:val="nil"/>
              <w:bottom w:val="single" w:color="auto" w:sz="4" w:space="0"/>
              <w:right w:val="single" w:color="auto" w:sz="4" w:space="0"/>
            </w:tcBorders>
            <w:shd w:val="clear" w:color="auto" w:fill="auto"/>
            <w:vAlign w:val="center"/>
          </w:tcPr>
          <w:p w14:paraId="11C82458">
            <w:pPr>
              <w:widowControl/>
              <w:jc w:val="center"/>
              <w:rPr>
                <w:color w:val="000000"/>
                <w:kern w:val="0"/>
                <w:sz w:val="20"/>
                <w:szCs w:val="20"/>
              </w:rPr>
            </w:pPr>
            <w:r>
              <w:rPr>
                <w:color w:val="000000"/>
                <w:kern w:val="0"/>
                <w:sz w:val="20"/>
                <w:szCs w:val="20"/>
              </w:rPr>
              <w:t>一级指标</w:t>
            </w:r>
          </w:p>
        </w:tc>
        <w:tc>
          <w:tcPr>
            <w:tcW w:w="1444" w:type="dxa"/>
            <w:gridSpan w:val="2"/>
            <w:tcBorders>
              <w:top w:val="single" w:color="auto" w:sz="4" w:space="0"/>
              <w:left w:val="nil"/>
              <w:bottom w:val="single" w:color="auto" w:sz="4" w:space="0"/>
              <w:right w:val="single" w:color="auto" w:sz="4" w:space="0"/>
            </w:tcBorders>
            <w:shd w:val="clear" w:color="auto" w:fill="auto"/>
            <w:vAlign w:val="center"/>
          </w:tcPr>
          <w:p w14:paraId="4BA0FCA9">
            <w:pPr>
              <w:widowControl/>
              <w:jc w:val="center"/>
              <w:rPr>
                <w:color w:val="000000"/>
                <w:kern w:val="0"/>
                <w:sz w:val="20"/>
                <w:szCs w:val="20"/>
              </w:rPr>
            </w:pPr>
            <w:r>
              <w:rPr>
                <w:color w:val="000000"/>
                <w:kern w:val="0"/>
                <w:sz w:val="20"/>
                <w:szCs w:val="20"/>
              </w:rPr>
              <w:t>二级指标</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14:paraId="28C02A85">
            <w:pPr>
              <w:widowControl/>
              <w:jc w:val="center"/>
              <w:rPr>
                <w:color w:val="000000"/>
                <w:kern w:val="0"/>
                <w:sz w:val="20"/>
                <w:szCs w:val="20"/>
              </w:rPr>
            </w:pPr>
            <w:r>
              <w:rPr>
                <w:color w:val="000000"/>
                <w:kern w:val="0"/>
                <w:sz w:val="20"/>
                <w:szCs w:val="20"/>
              </w:rPr>
              <w:t>三级指标</w:t>
            </w:r>
          </w:p>
        </w:tc>
        <w:tc>
          <w:tcPr>
            <w:tcW w:w="2126" w:type="dxa"/>
            <w:tcBorders>
              <w:top w:val="nil"/>
              <w:left w:val="nil"/>
              <w:bottom w:val="single" w:color="auto" w:sz="4" w:space="0"/>
              <w:right w:val="single" w:color="auto" w:sz="4" w:space="0"/>
            </w:tcBorders>
            <w:shd w:val="clear" w:color="auto" w:fill="auto"/>
            <w:vAlign w:val="center"/>
          </w:tcPr>
          <w:p w14:paraId="7B40664C">
            <w:pPr>
              <w:widowControl/>
              <w:jc w:val="center"/>
              <w:rPr>
                <w:color w:val="000000"/>
                <w:kern w:val="0"/>
                <w:sz w:val="20"/>
                <w:szCs w:val="20"/>
              </w:rPr>
            </w:pPr>
            <w:r>
              <w:rPr>
                <w:color w:val="000000"/>
                <w:kern w:val="0"/>
                <w:sz w:val="20"/>
                <w:szCs w:val="20"/>
              </w:rPr>
              <w:t>预期指标值</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14:paraId="037A068C">
            <w:pPr>
              <w:widowControl/>
              <w:jc w:val="center"/>
              <w:rPr>
                <w:color w:val="000000"/>
                <w:kern w:val="0"/>
                <w:sz w:val="20"/>
                <w:szCs w:val="20"/>
              </w:rPr>
            </w:pPr>
            <w:r>
              <w:rPr>
                <w:color w:val="000000"/>
                <w:kern w:val="0"/>
                <w:sz w:val="20"/>
                <w:szCs w:val="20"/>
              </w:rPr>
              <w:t>实际完成指标值</w:t>
            </w:r>
          </w:p>
        </w:tc>
      </w:tr>
      <w:tr w14:paraId="59225974">
        <w:tblPrEx>
          <w:tblCellMar>
            <w:top w:w="0" w:type="dxa"/>
            <w:left w:w="108" w:type="dxa"/>
            <w:bottom w:w="0" w:type="dxa"/>
            <w:right w:w="108" w:type="dxa"/>
          </w:tblCellMar>
        </w:tblPrEx>
        <w:trPr>
          <w:trHeight w:val="830" w:hRule="atLeast"/>
        </w:trPr>
        <w:tc>
          <w:tcPr>
            <w:tcW w:w="1264" w:type="dxa"/>
            <w:vMerge w:val="continue"/>
            <w:tcBorders>
              <w:top w:val="nil"/>
              <w:left w:val="single" w:color="auto" w:sz="4" w:space="0"/>
              <w:bottom w:val="single" w:color="auto" w:sz="4" w:space="0"/>
              <w:right w:val="single" w:color="auto" w:sz="4" w:space="0"/>
            </w:tcBorders>
            <w:vAlign w:val="center"/>
          </w:tcPr>
          <w:p w14:paraId="14FC0E69">
            <w:pPr>
              <w:widowControl/>
              <w:jc w:val="left"/>
              <w:rPr>
                <w:color w:val="000000"/>
                <w:kern w:val="0"/>
                <w:sz w:val="20"/>
                <w:szCs w:val="20"/>
              </w:rPr>
            </w:pPr>
          </w:p>
        </w:tc>
        <w:tc>
          <w:tcPr>
            <w:tcW w:w="1262" w:type="dxa"/>
            <w:vMerge w:val="restart"/>
            <w:tcBorders>
              <w:top w:val="nil"/>
              <w:left w:val="single" w:color="auto" w:sz="4" w:space="0"/>
              <w:bottom w:val="single" w:color="auto" w:sz="4" w:space="0"/>
              <w:right w:val="single" w:color="auto" w:sz="4" w:space="0"/>
            </w:tcBorders>
            <w:shd w:val="clear" w:color="auto" w:fill="auto"/>
            <w:vAlign w:val="center"/>
          </w:tcPr>
          <w:p w14:paraId="7456921D">
            <w:pPr>
              <w:widowControl/>
              <w:jc w:val="center"/>
              <w:rPr>
                <w:color w:val="000000"/>
                <w:kern w:val="0"/>
                <w:sz w:val="20"/>
                <w:szCs w:val="20"/>
              </w:rPr>
            </w:pPr>
            <w:r>
              <w:rPr>
                <w:color w:val="000000"/>
                <w:kern w:val="0"/>
                <w:sz w:val="20"/>
                <w:szCs w:val="20"/>
              </w:rPr>
              <w:t>完成指标</w:t>
            </w:r>
          </w:p>
        </w:tc>
        <w:tc>
          <w:tcPr>
            <w:tcW w:w="144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453C72">
            <w:pPr>
              <w:widowControl/>
              <w:jc w:val="center"/>
              <w:rPr>
                <w:color w:val="000000"/>
                <w:kern w:val="0"/>
                <w:sz w:val="20"/>
                <w:szCs w:val="20"/>
              </w:rPr>
            </w:pPr>
            <w:r>
              <w:rPr>
                <w:color w:val="000000"/>
                <w:kern w:val="0"/>
                <w:sz w:val="20"/>
                <w:szCs w:val="20"/>
              </w:rPr>
              <w:t>数量指标</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14:paraId="06F30E97">
            <w:pPr>
              <w:widowControl/>
              <w:jc w:val="center"/>
              <w:rPr>
                <w:kern w:val="0"/>
                <w:sz w:val="22"/>
                <w:szCs w:val="22"/>
              </w:rPr>
            </w:pPr>
            <w:r>
              <w:rPr>
                <w:rFonts w:hint="eastAsia"/>
                <w:color w:val="000000"/>
                <w:kern w:val="0"/>
                <w:sz w:val="20"/>
                <w:szCs w:val="20"/>
              </w:rPr>
              <w:t>电子政务外网光纤租赁费</w:t>
            </w:r>
          </w:p>
        </w:tc>
        <w:tc>
          <w:tcPr>
            <w:tcW w:w="2126" w:type="dxa"/>
            <w:tcBorders>
              <w:top w:val="nil"/>
              <w:left w:val="nil"/>
              <w:bottom w:val="single" w:color="auto" w:sz="4" w:space="0"/>
              <w:right w:val="single" w:color="auto" w:sz="4" w:space="0"/>
            </w:tcBorders>
            <w:shd w:val="clear" w:color="auto" w:fill="auto"/>
            <w:vAlign w:val="center"/>
          </w:tcPr>
          <w:p w14:paraId="78FB18AC">
            <w:pPr>
              <w:widowControl/>
              <w:jc w:val="center"/>
              <w:rPr>
                <w:color w:val="000000"/>
                <w:kern w:val="0"/>
                <w:sz w:val="20"/>
                <w:szCs w:val="20"/>
              </w:rPr>
            </w:pPr>
            <w:r>
              <w:rPr>
                <w:rFonts w:hint="eastAsia"/>
                <w:color w:val="000000"/>
                <w:kern w:val="0"/>
                <w:sz w:val="20"/>
                <w:szCs w:val="20"/>
              </w:rPr>
              <w:t>为全市85家单位提供电子政务外网专用光纤的传输服务</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14:paraId="65B77D03">
            <w:pPr>
              <w:widowControl/>
              <w:jc w:val="center"/>
              <w:rPr>
                <w:kern w:val="0"/>
                <w:sz w:val="22"/>
                <w:szCs w:val="22"/>
              </w:rPr>
            </w:pPr>
            <w:r>
              <w:rPr>
                <w:rFonts w:hint="eastAsia"/>
                <w:color w:val="000000"/>
                <w:kern w:val="0"/>
                <w:sz w:val="20"/>
                <w:szCs w:val="20"/>
              </w:rPr>
              <w:t>全市85家单位</w:t>
            </w:r>
          </w:p>
        </w:tc>
      </w:tr>
      <w:tr w14:paraId="772B8ED6">
        <w:tblPrEx>
          <w:tblCellMar>
            <w:top w:w="0" w:type="dxa"/>
            <w:left w:w="108" w:type="dxa"/>
            <w:bottom w:w="0" w:type="dxa"/>
            <w:right w:w="108" w:type="dxa"/>
          </w:tblCellMar>
        </w:tblPrEx>
        <w:trPr>
          <w:trHeight w:val="420" w:hRule="atLeast"/>
        </w:trPr>
        <w:tc>
          <w:tcPr>
            <w:tcW w:w="1264" w:type="dxa"/>
            <w:vMerge w:val="continue"/>
            <w:tcBorders>
              <w:top w:val="nil"/>
              <w:left w:val="single" w:color="auto" w:sz="4" w:space="0"/>
              <w:bottom w:val="single" w:color="auto" w:sz="4" w:space="0"/>
              <w:right w:val="single" w:color="auto" w:sz="4" w:space="0"/>
            </w:tcBorders>
            <w:vAlign w:val="center"/>
          </w:tcPr>
          <w:p w14:paraId="6DD61E83">
            <w:pPr>
              <w:widowControl/>
              <w:jc w:val="left"/>
              <w:rPr>
                <w:color w:val="000000"/>
                <w:kern w:val="0"/>
                <w:sz w:val="20"/>
                <w:szCs w:val="20"/>
              </w:rPr>
            </w:pPr>
          </w:p>
        </w:tc>
        <w:tc>
          <w:tcPr>
            <w:tcW w:w="1262" w:type="dxa"/>
            <w:vMerge w:val="continue"/>
            <w:tcBorders>
              <w:top w:val="nil"/>
              <w:left w:val="single" w:color="auto" w:sz="4" w:space="0"/>
              <w:bottom w:val="single" w:color="auto" w:sz="4" w:space="0"/>
              <w:right w:val="single" w:color="auto" w:sz="4" w:space="0"/>
            </w:tcBorders>
            <w:vAlign w:val="center"/>
          </w:tcPr>
          <w:p w14:paraId="22C6C516">
            <w:pPr>
              <w:widowControl/>
              <w:jc w:val="left"/>
              <w:rPr>
                <w:color w:val="000000"/>
                <w:kern w:val="0"/>
                <w:sz w:val="20"/>
                <w:szCs w:val="20"/>
              </w:rPr>
            </w:pPr>
          </w:p>
        </w:tc>
        <w:tc>
          <w:tcPr>
            <w:tcW w:w="1444" w:type="dxa"/>
            <w:gridSpan w:val="2"/>
            <w:vMerge w:val="continue"/>
            <w:tcBorders>
              <w:top w:val="single" w:color="auto" w:sz="4" w:space="0"/>
              <w:left w:val="single" w:color="auto" w:sz="4" w:space="0"/>
              <w:bottom w:val="single" w:color="auto" w:sz="4" w:space="0"/>
              <w:right w:val="single" w:color="auto" w:sz="4" w:space="0"/>
            </w:tcBorders>
            <w:vAlign w:val="center"/>
          </w:tcPr>
          <w:p w14:paraId="47D30055">
            <w:pPr>
              <w:widowControl/>
              <w:jc w:val="left"/>
              <w:rPr>
                <w:color w:val="000000"/>
                <w:kern w:val="0"/>
                <w:sz w:val="20"/>
                <w:szCs w:val="20"/>
              </w:rPr>
            </w:pP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14:paraId="2EBA5C31">
            <w:pPr>
              <w:widowControl/>
              <w:jc w:val="center"/>
              <w:rPr>
                <w:color w:val="000000"/>
                <w:kern w:val="0"/>
                <w:sz w:val="20"/>
                <w:szCs w:val="20"/>
              </w:rPr>
            </w:pPr>
            <w:r>
              <w:rPr>
                <w:rFonts w:hint="eastAsia"/>
                <w:color w:val="000000"/>
                <w:kern w:val="0"/>
                <w:sz w:val="20"/>
                <w:szCs w:val="20"/>
              </w:rPr>
              <w:t>互联网固定IP地址租赁费</w:t>
            </w:r>
          </w:p>
        </w:tc>
        <w:tc>
          <w:tcPr>
            <w:tcW w:w="2126" w:type="dxa"/>
            <w:tcBorders>
              <w:top w:val="nil"/>
              <w:left w:val="nil"/>
              <w:bottom w:val="single" w:color="auto" w:sz="4" w:space="0"/>
              <w:right w:val="single" w:color="auto" w:sz="4" w:space="0"/>
            </w:tcBorders>
            <w:shd w:val="clear" w:color="auto" w:fill="auto"/>
            <w:vAlign w:val="center"/>
          </w:tcPr>
          <w:p w14:paraId="43843E72">
            <w:pPr>
              <w:widowControl/>
              <w:jc w:val="center"/>
              <w:rPr>
                <w:color w:val="000000"/>
                <w:kern w:val="0"/>
                <w:sz w:val="20"/>
                <w:szCs w:val="20"/>
              </w:rPr>
            </w:pPr>
            <w:r>
              <w:rPr>
                <w:rFonts w:hint="eastAsia"/>
                <w:color w:val="000000"/>
                <w:kern w:val="0"/>
                <w:sz w:val="20"/>
                <w:szCs w:val="20"/>
              </w:rPr>
              <w:t>租赁2个互联网固定IP地址</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14:paraId="24B73A94">
            <w:pPr>
              <w:widowControl/>
              <w:jc w:val="center"/>
              <w:rPr>
                <w:color w:val="000000"/>
                <w:kern w:val="0"/>
                <w:sz w:val="20"/>
                <w:szCs w:val="20"/>
              </w:rPr>
            </w:pPr>
            <w:r>
              <w:rPr>
                <w:rFonts w:hint="eastAsia"/>
                <w:color w:val="000000"/>
                <w:kern w:val="0"/>
                <w:sz w:val="20"/>
                <w:szCs w:val="20"/>
              </w:rPr>
              <w:t>2个</w:t>
            </w:r>
          </w:p>
        </w:tc>
      </w:tr>
      <w:tr w14:paraId="31FEF15C">
        <w:tblPrEx>
          <w:tblCellMar>
            <w:top w:w="0" w:type="dxa"/>
            <w:left w:w="108" w:type="dxa"/>
            <w:bottom w:w="0" w:type="dxa"/>
            <w:right w:w="108" w:type="dxa"/>
          </w:tblCellMar>
        </w:tblPrEx>
        <w:trPr>
          <w:trHeight w:val="555" w:hRule="atLeast"/>
        </w:trPr>
        <w:tc>
          <w:tcPr>
            <w:tcW w:w="1264" w:type="dxa"/>
            <w:vMerge w:val="continue"/>
            <w:tcBorders>
              <w:top w:val="nil"/>
              <w:left w:val="single" w:color="auto" w:sz="4" w:space="0"/>
              <w:bottom w:val="single" w:color="auto" w:sz="4" w:space="0"/>
              <w:right w:val="single" w:color="auto" w:sz="4" w:space="0"/>
            </w:tcBorders>
            <w:vAlign w:val="center"/>
          </w:tcPr>
          <w:p w14:paraId="2A86A374">
            <w:pPr>
              <w:widowControl/>
              <w:jc w:val="left"/>
              <w:rPr>
                <w:color w:val="000000"/>
                <w:kern w:val="0"/>
                <w:sz w:val="20"/>
                <w:szCs w:val="20"/>
              </w:rPr>
            </w:pPr>
          </w:p>
        </w:tc>
        <w:tc>
          <w:tcPr>
            <w:tcW w:w="1262" w:type="dxa"/>
            <w:vMerge w:val="continue"/>
            <w:tcBorders>
              <w:top w:val="nil"/>
              <w:left w:val="single" w:color="auto" w:sz="4" w:space="0"/>
              <w:bottom w:val="single" w:color="auto" w:sz="4" w:space="0"/>
              <w:right w:val="single" w:color="auto" w:sz="4" w:space="0"/>
            </w:tcBorders>
            <w:vAlign w:val="center"/>
          </w:tcPr>
          <w:p w14:paraId="67BFD876">
            <w:pPr>
              <w:widowControl/>
              <w:jc w:val="left"/>
              <w:rPr>
                <w:color w:val="000000"/>
                <w:kern w:val="0"/>
                <w:sz w:val="20"/>
                <w:szCs w:val="20"/>
              </w:rPr>
            </w:pPr>
          </w:p>
        </w:tc>
        <w:tc>
          <w:tcPr>
            <w:tcW w:w="1444" w:type="dxa"/>
            <w:gridSpan w:val="2"/>
            <w:vMerge w:val="continue"/>
            <w:tcBorders>
              <w:top w:val="single" w:color="auto" w:sz="4" w:space="0"/>
              <w:left w:val="single" w:color="auto" w:sz="4" w:space="0"/>
              <w:bottom w:val="single" w:color="auto" w:sz="4" w:space="0"/>
              <w:right w:val="single" w:color="auto" w:sz="4" w:space="0"/>
            </w:tcBorders>
            <w:vAlign w:val="center"/>
          </w:tcPr>
          <w:p w14:paraId="5E9D3403">
            <w:pPr>
              <w:widowControl/>
              <w:jc w:val="left"/>
              <w:rPr>
                <w:color w:val="000000"/>
                <w:kern w:val="0"/>
                <w:sz w:val="20"/>
                <w:szCs w:val="20"/>
              </w:rPr>
            </w:pP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14:paraId="75CBF6A5">
            <w:pPr>
              <w:widowControl/>
              <w:jc w:val="center"/>
              <w:rPr>
                <w:color w:val="000000"/>
                <w:kern w:val="0"/>
                <w:sz w:val="20"/>
                <w:szCs w:val="20"/>
              </w:rPr>
            </w:pPr>
            <w:r>
              <w:rPr>
                <w:rFonts w:hint="eastAsia"/>
                <w:color w:val="000000"/>
                <w:kern w:val="0"/>
                <w:sz w:val="20"/>
                <w:szCs w:val="20"/>
              </w:rPr>
              <w:t>短信服务</w:t>
            </w:r>
          </w:p>
        </w:tc>
        <w:tc>
          <w:tcPr>
            <w:tcW w:w="2126" w:type="dxa"/>
            <w:tcBorders>
              <w:top w:val="nil"/>
              <w:left w:val="nil"/>
              <w:bottom w:val="single" w:color="auto" w:sz="4" w:space="0"/>
              <w:right w:val="single" w:color="auto" w:sz="4" w:space="0"/>
            </w:tcBorders>
            <w:shd w:val="clear" w:color="auto" w:fill="auto"/>
            <w:vAlign w:val="center"/>
          </w:tcPr>
          <w:p w14:paraId="5405239D">
            <w:pPr>
              <w:widowControl/>
              <w:jc w:val="center"/>
              <w:rPr>
                <w:rFonts w:ascii="宋体" w:hAnsi="宋体" w:cs="宋体"/>
                <w:sz w:val="24"/>
              </w:rPr>
            </w:pPr>
            <w:r>
              <w:rPr>
                <w:rFonts w:hint="eastAsia"/>
                <w:color w:val="000000"/>
                <w:kern w:val="0"/>
                <w:sz w:val="20"/>
                <w:szCs w:val="20"/>
              </w:rPr>
              <w:t>不低于300万条</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14:paraId="49FBD39F">
            <w:pPr>
              <w:rPr>
                <w:rFonts w:ascii="宋体" w:hAnsi="宋体" w:cs="宋体"/>
                <w:sz w:val="24"/>
              </w:rPr>
            </w:pPr>
            <w:r>
              <w:rPr>
                <w:rFonts w:hint="eastAsia"/>
              </w:rPr>
              <w:t>300万条以上</w:t>
            </w:r>
          </w:p>
        </w:tc>
      </w:tr>
      <w:tr w14:paraId="7E08E034">
        <w:tblPrEx>
          <w:tblCellMar>
            <w:top w:w="0" w:type="dxa"/>
            <w:left w:w="108" w:type="dxa"/>
            <w:bottom w:w="0" w:type="dxa"/>
            <w:right w:w="108" w:type="dxa"/>
          </w:tblCellMar>
        </w:tblPrEx>
        <w:trPr>
          <w:trHeight w:val="435" w:hRule="atLeast"/>
        </w:trPr>
        <w:tc>
          <w:tcPr>
            <w:tcW w:w="1264" w:type="dxa"/>
            <w:vMerge w:val="continue"/>
            <w:tcBorders>
              <w:top w:val="nil"/>
              <w:left w:val="single" w:color="auto" w:sz="4" w:space="0"/>
              <w:bottom w:val="single" w:color="auto" w:sz="4" w:space="0"/>
              <w:right w:val="single" w:color="auto" w:sz="4" w:space="0"/>
            </w:tcBorders>
            <w:vAlign w:val="center"/>
          </w:tcPr>
          <w:p w14:paraId="5EB6A478">
            <w:pPr>
              <w:widowControl/>
              <w:jc w:val="left"/>
              <w:rPr>
                <w:color w:val="000000"/>
                <w:kern w:val="0"/>
                <w:sz w:val="20"/>
                <w:szCs w:val="20"/>
              </w:rPr>
            </w:pPr>
          </w:p>
        </w:tc>
        <w:tc>
          <w:tcPr>
            <w:tcW w:w="1262" w:type="dxa"/>
            <w:vMerge w:val="continue"/>
            <w:tcBorders>
              <w:top w:val="nil"/>
              <w:left w:val="single" w:color="auto" w:sz="4" w:space="0"/>
              <w:bottom w:val="single" w:color="auto" w:sz="4" w:space="0"/>
              <w:right w:val="single" w:color="auto" w:sz="4" w:space="0"/>
            </w:tcBorders>
            <w:vAlign w:val="center"/>
          </w:tcPr>
          <w:p w14:paraId="38E11384">
            <w:pPr>
              <w:widowControl/>
              <w:jc w:val="left"/>
              <w:rPr>
                <w:color w:val="000000"/>
                <w:kern w:val="0"/>
                <w:sz w:val="20"/>
                <w:szCs w:val="20"/>
              </w:rPr>
            </w:pPr>
          </w:p>
        </w:tc>
        <w:tc>
          <w:tcPr>
            <w:tcW w:w="1444" w:type="dxa"/>
            <w:gridSpan w:val="2"/>
            <w:tcBorders>
              <w:top w:val="single" w:color="auto" w:sz="4" w:space="0"/>
              <w:left w:val="nil"/>
              <w:bottom w:val="single" w:color="auto" w:sz="4" w:space="0"/>
              <w:right w:val="single" w:color="auto" w:sz="4" w:space="0"/>
            </w:tcBorders>
            <w:shd w:val="clear" w:color="auto" w:fill="auto"/>
            <w:vAlign w:val="center"/>
          </w:tcPr>
          <w:p w14:paraId="6EEDB952">
            <w:pPr>
              <w:widowControl/>
              <w:jc w:val="center"/>
              <w:rPr>
                <w:color w:val="000000"/>
                <w:kern w:val="0"/>
                <w:sz w:val="20"/>
                <w:szCs w:val="20"/>
              </w:rPr>
            </w:pPr>
            <w:r>
              <w:rPr>
                <w:color w:val="000000"/>
                <w:kern w:val="0"/>
                <w:sz w:val="20"/>
                <w:szCs w:val="20"/>
              </w:rPr>
              <w:t>质量指标</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14:paraId="5F1143A2">
            <w:pPr>
              <w:widowControl/>
              <w:rPr>
                <w:color w:val="000000"/>
                <w:kern w:val="0"/>
                <w:sz w:val="20"/>
                <w:szCs w:val="20"/>
              </w:rPr>
            </w:pPr>
            <w:r>
              <w:rPr>
                <w:rFonts w:hint="eastAsia"/>
                <w:color w:val="000000"/>
                <w:kern w:val="0"/>
                <w:sz w:val="20"/>
                <w:szCs w:val="20"/>
              </w:rPr>
              <w:t>协同办公平台功能正常</w:t>
            </w:r>
          </w:p>
        </w:tc>
        <w:tc>
          <w:tcPr>
            <w:tcW w:w="2126" w:type="dxa"/>
            <w:tcBorders>
              <w:top w:val="nil"/>
              <w:left w:val="nil"/>
              <w:bottom w:val="single" w:color="auto" w:sz="4" w:space="0"/>
              <w:right w:val="single" w:color="auto" w:sz="4" w:space="0"/>
            </w:tcBorders>
            <w:shd w:val="clear" w:color="auto" w:fill="auto"/>
            <w:vAlign w:val="center"/>
          </w:tcPr>
          <w:p w14:paraId="54A84AB9">
            <w:pPr>
              <w:widowControl/>
              <w:rPr>
                <w:color w:val="000000"/>
                <w:kern w:val="0"/>
                <w:sz w:val="20"/>
                <w:szCs w:val="20"/>
              </w:rPr>
            </w:pPr>
            <w:r>
              <w:rPr>
                <w:rFonts w:hint="eastAsia"/>
                <w:color w:val="000000"/>
                <w:kern w:val="0"/>
                <w:sz w:val="20"/>
                <w:szCs w:val="20"/>
              </w:rPr>
              <w:t>公文流转、会议通知、文档管理等平台功能正常运行，访问速度流程，支持异地办公、手机办公等。</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14:paraId="304A11AF">
            <w:pPr>
              <w:widowControl/>
              <w:jc w:val="center"/>
              <w:rPr>
                <w:color w:val="000000"/>
                <w:kern w:val="0"/>
                <w:sz w:val="20"/>
                <w:szCs w:val="20"/>
              </w:rPr>
            </w:pPr>
            <w:r>
              <w:rPr>
                <w:rFonts w:hint="eastAsia"/>
                <w:color w:val="000000"/>
                <w:kern w:val="0"/>
                <w:sz w:val="20"/>
                <w:szCs w:val="20"/>
              </w:rPr>
              <w:t>正常，已完成</w:t>
            </w:r>
          </w:p>
        </w:tc>
      </w:tr>
      <w:tr w14:paraId="42855E2E">
        <w:tblPrEx>
          <w:tblCellMar>
            <w:top w:w="0" w:type="dxa"/>
            <w:left w:w="108" w:type="dxa"/>
            <w:bottom w:w="0" w:type="dxa"/>
            <w:right w:w="108" w:type="dxa"/>
          </w:tblCellMar>
        </w:tblPrEx>
        <w:trPr>
          <w:trHeight w:val="465" w:hRule="atLeast"/>
        </w:trPr>
        <w:tc>
          <w:tcPr>
            <w:tcW w:w="1264" w:type="dxa"/>
            <w:vMerge w:val="continue"/>
            <w:tcBorders>
              <w:top w:val="nil"/>
              <w:left w:val="single" w:color="auto" w:sz="4" w:space="0"/>
              <w:bottom w:val="single" w:color="auto" w:sz="4" w:space="0"/>
              <w:right w:val="single" w:color="auto" w:sz="4" w:space="0"/>
            </w:tcBorders>
            <w:vAlign w:val="center"/>
          </w:tcPr>
          <w:p w14:paraId="2E268A8A">
            <w:pPr>
              <w:widowControl/>
              <w:jc w:val="left"/>
              <w:rPr>
                <w:color w:val="000000"/>
                <w:kern w:val="0"/>
                <w:sz w:val="20"/>
                <w:szCs w:val="20"/>
              </w:rPr>
            </w:pPr>
          </w:p>
        </w:tc>
        <w:tc>
          <w:tcPr>
            <w:tcW w:w="1262" w:type="dxa"/>
            <w:vMerge w:val="continue"/>
            <w:tcBorders>
              <w:top w:val="nil"/>
              <w:left w:val="single" w:color="auto" w:sz="4" w:space="0"/>
              <w:bottom w:val="single" w:color="auto" w:sz="4" w:space="0"/>
              <w:right w:val="single" w:color="auto" w:sz="4" w:space="0"/>
            </w:tcBorders>
            <w:vAlign w:val="center"/>
          </w:tcPr>
          <w:p w14:paraId="34B616CF">
            <w:pPr>
              <w:widowControl/>
              <w:jc w:val="left"/>
              <w:rPr>
                <w:color w:val="000000"/>
                <w:kern w:val="0"/>
                <w:sz w:val="20"/>
                <w:szCs w:val="20"/>
              </w:rPr>
            </w:pPr>
          </w:p>
        </w:tc>
        <w:tc>
          <w:tcPr>
            <w:tcW w:w="1444" w:type="dxa"/>
            <w:gridSpan w:val="2"/>
            <w:tcBorders>
              <w:top w:val="single" w:color="auto" w:sz="4" w:space="0"/>
              <w:left w:val="nil"/>
              <w:bottom w:val="single" w:color="auto" w:sz="4" w:space="0"/>
              <w:right w:val="single" w:color="auto" w:sz="4" w:space="0"/>
            </w:tcBorders>
            <w:shd w:val="clear" w:color="auto" w:fill="auto"/>
            <w:vAlign w:val="center"/>
          </w:tcPr>
          <w:p w14:paraId="58CEB621">
            <w:pPr>
              <w:widowControl/>
              <w:jc w:val="center"/>
              <w:rPr>
                <w:color w:val="000000"/>
                <w:kern w:val="0"/>
                <w:sz w:val="20"/>
                <w:szCs w:val="20"/>
              </w:rPr>
            </w:pPr>
            <w:r>
              <w:rPr>
                <w:color w:val="000000"/>
                <w:kern w:val="0"/>
                <w:sz w:val="20"/>
                <w:szCs w:val="20"/>
              </w:rPr>
              <w:t>时效指标</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14:paraId="1B6E4749">
            <w:pPr>
              <w:widowControl/>
              <w:jc w:val="center"/>
              <w:rPr>
                <w:color w:val="000000"/>
                <w:kern w:val="0"/>
                <w:sz w:val="20"/>
                <w:szCs w:val="20"/>
              </w:rPr>
            </w:pPr>
            <w:r>
              <w:rPr>
                <w:color w:val="000000"/>
                <w:kern w:val="0"/>
                <w:sz w:val="20"/>
                <w:szCs w:val="20"/>
              </w:rPr>
              <w:t>全年</w:t>
            </w:r>
          </w:p>
        </w:tc>
        <w:tc>
          <w:tcPr>
            <w:tcW w:w="2126" w:type="dxa"/>
            <w:tcBorders>
              <w:top w:val="nil"/>
              <w:left w:val="nil"/>
              <w:bottom w:val="single" w:color="auto" w:sz="4" w:space="0"/>
              <w:right w:val="single" w:color="auto" w:sz="4" w:space="0"/>
            </w:tcBorders>
            <w:shd w:val="clear" w:color="auto" w:fill="auto"/>
            <w:vAlign w:val="center"/>
          </w:tcPr>
          <w:p w14:paraId="4AB6537F">
            <w:pPr>
              <w:widowControl/>
              <w:jc w:val="center"/>
              <w:rPr>
                <w:color w:val="000000"/>
                <w:kern w:val="0"/>
                <w:sz w:val="20"/>
                <w:szCs w:val="20"/>
              </w:rPr>
            </w:pPr>
            <w:r>
              <w:rPr>
                <w:color w:val="000000"/>
                <w:kern w:val="0"/>
                <w:sz w:val="20"/>
                <w:szCs w:val="20"/>
              </w:rPr>
              <w:t>12个月</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14:paraId="310A322C">
            <w:pPr>
              <w:widowControl/>
              <w:jc w:val="center"/>
              <w:rPr>
                <w:color w:val="000000"/>
                <w:kern w:val="0"/>
                <w:sz w:val="20"/>
                <w:szCs w:val="20"/>
              </w:rPr>
            </w:pPr>
            <w:r>
              <w:rPr>
                <w:color w:val="000000"/>
                <w:kern w:val="0"/>
                <w:sz w:val="20"/>
                <w:szCs w:val="20"/>
              </w:rPr>
              <w:t>12个月</w:t>
            </w:r>
          </w:p>
        </w:tc>
      </w:tr>
      <w:tr w14:paraId="1D2C15E9">
        <w:tblPrEx>
          <w:tblCellMar>
            <w:top w:w="0" w:type="dxa"/>
            <w:left w:w="108" w:type="dxa"/>
            <w:bottom w:w="0" w:type="dxa"/>
            <w:right w:w="108" w:type="dxa"/>
          </w:tblCellMar>
        </w:tblPrEx>
        <w:trPr>
          <w:trHeight w:val="435" w:hRule="atLeast"/>
        </w:trPr>
        <w:tc>
          <w:tcPr>
            <w:tcW w:w="1264" w:type="dxa"/>
            <w:vMerge w:val="continue"/>
            <w:tcBorders>
              <w:top w:val="nil"/>
              <w:left w:val="single" w:color="auto" w:sz="4" w:space="0"/>
              <w:bottom w:val="single" w:color="auto" w:sz="4" w:space="0"/>
              <w:right w:val="single" w:color="auto" w:sz="4" w:space="0"/>
            </w:tcBorders>
            <w:vAlign w:val="center"/>
          </w:tcPr>
          <w:p w14:paraId="27C7301B">
            <w:pPr>
              <w:widowControl/>
              <w:jc w:val="left"/>
              <w:rPr>
                <w:color w:val="000000"/>
                <w:kern w:val="0"/>
                <w:sz w:val="20"/>
                <w:szCs w:val="20"/>
              </w:rPr>
            </w:pPr>
          </w:p>
        </w:tc>
        <w:tc>
          <w:tcPr>
            <w:tcW w:w="1262" w:type="dxa"/>
            <w:vMerge w:val="continue"/>
            <w:tcBorders>
              <w:top w:val="nil"/>
              <w:left w:val="single" w:color="auto" w:sz="4" w:space="0"/>
              <w:bottom w:val="single" w:color="auto" w:sz="4" w:space="0"/>
              <w:right w:val="single" w:color="auto" w:sz="4" w:space="0"/>
            </w:tcBorders>
            <w:vAlign w:val="center"/>
          </w:tcPr>
          <w:p w14:paraId="4DACF49D">
            <w:pPr>
              <w:widowControl/>
              <w:jc w:val="left"/>
              <w:rPr>
                <w:color w:val="000000"/>
                <w:kern w:val="0"/>
                <w:sz w:val="20"/>
                <w:szCs w:val="20"/>
              </w:rPr>
            </w:pPr>
          </w:p>
        </w:tc>
        <w:tc>
          <w:tcPr>
            <w:tcW w:w="144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15A5AB">
            <w:pPr>
              <w:widowControl/>
              <w:jc w:val="center"/>
              <w:rPr>
                <w:color w:val="000000"/>
                <w:kern w:val="0"/>
                <w:sz w:val="20"/>
                <w:szCs w:val="20"/>
              </w:rPr>
            </w:pPr>
            <w:r>
              <w:rPr>
                <w:color w:val="000000"/>
                <w:kern w:val="0"/>
                <w:sz w:val="20"/>
                <w:szCs w:val="20"/>
              </w:rPr>
              <w:t>成本指标</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14:paraId="097DAE7E">
            <w:pPr>
              <w:widowControl/>
              <w:jc w:val="center"/>
              <w:rPr>
                <w:color w:val="000000"/>
                <w:kern w:val="0"/>
                <w:sz w:val="20"/>
                <w:szCs w:val="20"/>
              </w:rPr>
            </w:pPr>
            <w:r>
              <w:rPr>
                <w:color w:val="000000"/>
                <w:kern w:val="0"/>
                <w:sz w:val="20"/>
                <w:szCs w:val="20"/>
              </w:rPr>
              <w:t>专项监管支出</w:t>
            </w:r>
          </w:p>
        </w:tc>
        <w:tc>
          <w:tcPr>
            <w:tcW w:w="2126" w:type="dxa"/>
            <w:tcBorders>
              <w:top w:val="nil"/>
              <w:left w:val="nil"/>
              <w:bottom w:val="single" w:color="auto" w:sz="4" w:space="0"/>
              <w:right w:val="single" w:color="auto" w:sz="4" w:space="0"/>
            </w:tcBorders>
            <w:shd w:val="clear" w:color="auto" w:fill="auto"/>
            <w:vAlign w:val="center"/>
          </w:tcPr>
          <w:p w14:paraId="4710E138">
            <w:pPr>
              <w:widowControl/>
              <w:jc w:val="center"/>
              <w:rPr>
                <w:color w:val="000000"/>
                <w:kern w:val="0"/>
                <w:sz w:val="20"/>
                <w:szCs w:val="20"/>
              </w:rPr>
            </w:pPr>
            <w:r>
              <w:rPr>
                <w:color w:val="000000"/>
                <w:kern w:val="0"/>
                <w:sz w:val="20"/>
                <w:szCs w:val="20"/>
              </w:rPr>
              <w:t>8万元</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14:paraId="3D911806">
            <w:pPr>
              <w:widowControl/>
              <w:jc w:val="center"/>
              <w:rPr>
                <w:color w:val="000000"/>
                <w:kern w:val="0"/>
                <w:sz w:val="20"/>
                <w:szCs w:val="20"/>
              </w:rPr>
            </w:pPr>
            <w:r>
              <w:rPr>
                <w:color w:val="000000"/>
                <w:kern w:val="0"/>
                <w:sz w:val="20"/>
                <w:szCs w:val="20"/>
              </w:rPr>
              <w:t>7.6万元</w:t>
            </w:r>
          </w:p>
        </w:tc>
      </w:tr>
      <w:tr w14:paraId="396B0CD0">
        <w:tblPrEx>
          <w:tblCellMar>
            <w:top w:w="0" w:type="dxa"/>
            <w:left w:w="108" w:type="dxa"/>
            <w:bottom w:w="0" w:type="dxa"/>
            <w:right w:w="108" w:type="dxa"/>
          </w:tblCellMar>
        </w:tblPrEx>
        <w:trPr>
          <w:trHeight w:val="435" w:hRule="atLeast"/>
        </w:trPr>
        <w:tc>
          <w:tcPr>
            <w:tcW w:w="1264" w:type="dxa"/>
            <w:vMerge w:val="continue"/>
            <w:tcBorders>
              <w:top w:val="nil"/>
              <w:left w:val="single" w:color="auto" w:sz="4" w:space="0"/>
              <w:bottom w:val="single" w:color="auto" w:sz="4" w:space="0"/>
              <w:right w:val="single" w:color="auto" w:sz="4" w:space="0"/>
            </w:tcBorders>
            <w:vAlign w:val="center"/>
          </w:tcPr>
          <w:p w14:paraId="01DE1AE9">
            <w:pPr>
              <w:widowControl/>
              <w:jc w:val="left"/>
              <w:rPr>
                <w:color w:val="000000"/>
                <w:kern w:val="0"/>
                <w:sz w:val="20"/>
                <w:szCs w:val="20"/>
              </w:rPr>
            </w:pPr>
          </w:p>
        </w:tc>
        <w:tc>
          <w:tcPr>
            <w:tcW w:w="1262" w:type="dxa"/>
            <w:vMerge w:val="continue"/>
            <w:tcBorders>
              <w:top w:val="nil"/>
              <w:left w:val="single" w:color="auto" w:sz="4" w:space="0"/>
              <w:bottom w:val="single" w:color="auto" w:sz="4" w:space="0"/>
              <w:right w:val="single" w:color="auto" w:sz="4" w:space="0"/>
            </w:tcBorders>
            <w:vAlign w:val="center"/>
          </w:tcPr>
          <w:p w14:paraId="42AEE33C">
            <w:pPr>
              <w:widowControl/>
              <w:jc w:val="left"/>
              <w:rPr>
                <w:color w:val="000000"/>
                <w:kern w:val="0"/>
                <w:sz w:val="20"/>
                <w:szCs w:val="20"/>
              </w:rPr>
            </w:pPr>
          </w:p>
        </w:tc>
        <w:tc>
          <w:tcPr>
            <w:tcW w:w="1444" w:type="dxa"/>
            <w:gridSpan w:val="2"/>
            <w:vMerge w:val="continue"/>
            <w:tcBorders>
              <w:top w:val="single" w:color="auto" w:sz="4" w:space="0"/>
              <w:left w:val="single" w:color="auto" w:sz="4" w:space="0"/>
              <w:bottom w:val="single" w:color="auto" w:sz="4" w:space="0"/>
              <w:right w:val="single" w:color="auto" w:sz="4" w:space="0"/>
            </w:tcBorders>
            <w:vAlign w:val="center"/>
          </w:tcPr>
          <w:p w14:paraId="7EB1526F">
            <w:pPr>
              <w:widowControl/>
              <w:jc w:val="left"/>
              <w:rPr>
                <w:color w:val="000000"/>
                <w:kern w:val="0"/>
                <w:sz w:val="20"/>
                <w:szCs w:val="20"/>
              </w:rPr>
            </w:pP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14:paraId="5BC42AE2">
            <w:pPr>
              <w:widowControl/>
              <w:jc w:val="center"/>
              <w:rPr>
                <w:color w:val="000000"/>
                <w:kern w:val="0"/>
                <w:sz w:val="20"/>
                <w:szCs w:val="20"/>
              </w:rPr>
            </w:pPr>
            <w:r>
              <w:rPr>
                <w:color w:val="000000"/>
                <w:kern w:val="0"/>
                <w:sz w:val="20"/>
                <w:szCs w:val="20"/>
              </w:rPr>
              <w:t>房屋、车辆培训等</w:t>
            </w:r>
          </w:p>
        </w:tc>
        <w:tc>
          <w:tcPr>
            <w:tcW w:w="2126" w:type="dxa"/>
            <w:tcBorders>
              <w:top w:val="nil"/>
              <w:left w:val="nil"/>
              <w:bottom w:val="single" w:color="auto" w:sz="4" w:space="0"/>
              <w:right w:val="single" w:color="auto" w:sz="4" w:space="0"/>
            </w:tcBorders>
            <w:shd w:val="clear" w:color="auto" w:fill="auto"/>
            <w:vAlign w:val="center"/>
          </w:tcPr>
          <w:p w14:paraId="712F9400">
            <w:pPr>
              <w:widowControl/>
              <w:jc w:val="center"/>
              <w:rPr>
                <w:color w:val="000000"/>
                <w:kern w:val="0"/>
                <w:sz w:val="20"/>
                <w:szCs w:val="20"/>
              </w:rPr>
            </w:pPr>
            <w:r>
              <w:rPr>
                <w:color w:val="000000"/>
                <w:kern w:val="0"/>
                <w:sz w:val="20"/>
                <w:szCs w:val="20"/>
              </w:rPr>
              <w:t>12万元内</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14:paraId="1BDE01C1">
            <w:pPr>
              <w:widowControl/>
              <w:jc w:val="center"/>
              <w:rPr>
                <w:color w:val="000000"/>
                <w:kern w:val="0"/>
                <w:sz w:val="20"/>
                <w:szCs w:val="20"/>
              </w:rPr>
            </w:pPr>
            <w:r>
              <w:rPr>
                <w:color w:val="000000"/>
                <w:kern w:val="0"/>
                <w:sz w:val="20"/>
                <w:szCs w:val="20"/>
              </w:rPr>
              <w:t>8.41万</w:t>
            </w:r>
          </w:p>
        </w:tc>
      </w:tr>
      <w:tr w14:paraId="0B4EA638">
        <w:tblPrEx>
          <w:tblCellMar>
            <w:top w:w="0" w:type="dxa"/>
            <w:left w:w="108" w:type="dxa"/>
            <w:bottom w:w="0" w:type="dxa"/>
            <w:right w:w="108" w:type="dxa"/>
          </w:tblCellMar>
        </w:tblPrEx>
        <w:trPr>
          <w:trHeight w:val="987" w:hRule="atLeast"/>
        </w:trPr>
        <w:tc>
          <w:tcPr>
            <w:tcW w:w="1264" w:type="dxa"/>
            <w:vMerge w:val="continue"/>
            <w:tcBorders>
              <w:top w:val="nil"/>
              <w:left w:val="single" w:color="auto" w:sz="4" w:space="0"/>
              <w:bottom w:val="single" w:color="auto" w:sz="4" w:space="0"/>
              <w:right w:val="single" w:color="auto" w:sz="4" w:space="0"/>
            </w:tcBorders>
            <w:vAlign w:val="center"/>
          </w:tcPr>
          <w:p w14:paraId="66DFD2DB">
            <w:pPr>
              <w:widowControl/>
              <w:jc w:val="left"/>
              <w:rPr>
                <w:color w:val="000000"/>
                <w:kern w:val="0"/>
                <w:sz w:val="20"/>
                <w:szCs w:val="20"/>
              </w:rPr>
            </w:pPr>
          </w:p>
        </w:tc>
        <w:tc>
          <w:tcPr>
            <w:tcW w:w="1262" w:type="dxa"/>
            <w:vMerge w:val="restart"/>
            <w:tcBorders>
              <w:top w:val="nil"/>
              <w:left w:val="single" w:color="auto" w:sz="4" w:space="0"/>
              <w:bottom w:val="single" w:color="auto" w:sz="4" w:space="0"/>
              <w:right w:val="single" w:color="auto" w:sz="4" w:space="0"/>
            </w:tcBorders>
            <w:shd w:val="clear" w:color="auto" w:fill="auto"/>
            <w:vAlign w:val="center"/>
          </w:tcPr>
          <w:p w14:paraId="2F2186EA">
            <w:pPr>
              <w:widowControl/>
              <w:jc w:val="center"/>
              <w:rPr>
                <w:color w:val="000000"/>
                <w:kern w:val="0"/>
                <w:sz w:val="20"/>
                <w:szCs w:val="20"/>
              </w:rPr>
            </w:pPr>
            <w:r>
              <w:rPr>
                <w:color w:val="000000"/>
                <w:kern w:val="0"/>
                <w:sz w:val="20"/>
                <w:szCs w:val="20"/>
              </w:rPr>
              <w:t>效益指标</w:t>
            </w:r>
          </w:p>
        </w:tc>
        <w:tc>
          <w:tcPr>
            <w:tcW w:w="1444" w:type="dxa"/>
            <w:gridSpan w:val="2"/>
            <w:tcBorders>
              <w:top w:val="single" w:color="auto" w:sz="4" w:space="0"/>
              <w:left w:val="nil"/>
              <w:bottom w:val="single" w:color="auto" w:sz="4" w:space="0"/>
              <w:right w:val="single" w:color="auto" w:sz="4" w:space="0"/>
            </w:tcBorders>
            <w:shd w:val="clear" w:color="auto" w:fill="auto"/>
            <w:vAlign w:val="center"/>
          </w:tcPr>
          <w:p w14:paraId="5A2F75AD">
            <w:pPr>
              <w:widowControl/>
              <w:jc w:val="center"/>
              <w:rPr>
                <w:color w:val="000000"/>
                <w:kern w:val="0"/>
                <w:sz w:val="20"/>
                <w:szCs w:val="20"/>
              </w:rPr>
            </w:pPr>
            <w:r>
              <w:rPr>
                <w:color w:val="000000"/>
                <w:kern w:val="0"/>
                <w:sz w:val="20"/>
                <w:szCs w:val="20"/>
              </w:rPr>
              <w:t>经济效益指标</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14:paraId="351B21A3">
            <w:pPr>
              <w:widowControl/>
              <w:jc w:val="center"/>
              <w:rPr>
                <w:color w:val="000000"/>
                <w:kern w:val="0"/>
                <w:sz w:val="20"/>
                <w:szCs w:val="20"/>
              </w:rPr>
            </w:pPr>
            <w:r>
              <w:rPr>
                <w:rFonts w:hint="eastAsia"/>
                <w:color w:val="000000"/>
                <w:kern w:val="0"/>
                <w:sz w:val="20"/>
                <w:szCs w:val="20"/>
              </w:rPr>
              <w:t>提速降费，保障全市协同办公平台正常运行</w:t>
            </w:r>
          </w:p>
        </w:tc>
        <w:tc>
          <w:tcPr>
            <w:tcW w:w="2126" w:type="dxa"/>
            <w:tcBorders>
              <w:top w:val="nil"/>
              <w:left w:val="nil"/>
              <w:bottom w:val="single" w:color="auto" w:sz="4" w:space="0"/>
              <w:right w:val="single" w:color="auto" w:sz="4" w:space="0"/>
            </w:tcBorders>
            <w:shd w:val="clear" w:color="auto" w:fill="auto"/>
            <w:vAlign w:val="center"/>
          </w:tcPr>
          <w:p w14:paraId="56C73519">
            <w:pPr>
              <w:widowControl/>
              <w:jc w:val="center"/>
              <w:rPr>
                <w:color w:val="000000"/>
                <w:kern w:val="0"/>
                <w:sz w:val="20"/>
                <w:szCs w:val="20"/>
              </w:rPr>
            </w:pPr>
            <w:r>
              <w:rPr>
                <w:rFonts w:hint="eastAsia"/>
                <w:color w:val="000000"/>
                <w:kern w:val="0"/>
                <w:sz w:val="20"/>
                <w:szCs w:val="20"/>
              </w:rPr>
              <w:t>提升党政机关和企事业单位办公效率，节约办公成本。</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14:paraId="4E60B050">
            <w:pPr>
              <w:widowControl/>
              <w:jc w:val="center"/>
              <w:rPr>
                <w:color w:val="000000"/>
                <w:kern w:val="0"/>
                <w:sz w:val="20"/>
                <w:szCs w:val="20"/>
              </w:rPr>
            </w:pPr>
            <w:r>
              <w:rPr>
                <w:rFonts w:hint="eastAsia"/>
                <w:color w:val="000000"/>
                <w:kern w:val="0"/>
                <w:sz w:val="20"/>
                <w:szCs w:val="20"/>
              </w:rPr>
              <w:t>已完成</w:t>
            </w:r>
          </w:p>
        </w:tc>
      </w:tr>
      <w:tr w14:paraId="53011F66">
        <w:tblPrEx>
          <w:tblCellMar>
            <w:top w:w="0" w:type="dxa"/>
            <w:left w:w="108" w:type="dxa"/>
            <w:bottom w:w="0" w:type="dxa"/>
            <w:right w:w="108" w:type="dxa"/>
          </w:tblCellMar>
        </w:tblPrEx>
        <w:trPr>
          <w:trHeight w:val="855" w:hRule="atLeast"/>
        </w:trPr>
        <w:tc>
          <w:tcPr>
            <w:tcW w:w="1264" w:type="dxa"/>
            <w:vMerge w:val="continue"/>
            <w:tcBorders>
              <w:top w:val="nil"/>
              <w:left w:val="single" w:color="auto" w:sz="4" w:space="0"/>
              <w:bottom w:val="single" w:color="auto" w:sz="4" w:space="0"/>
              <w:right w:val="single" w:color="auto" w:sz="4" w:space="0"/>
            </w:tcBorders>
            <w:vAlign w:val="center"/>
          </w:tcPr>
          <w:p w14:paraId="36F376C0">
            <w:pPr>
              <w:widowControl/>
              <w:jc w:val="left"/>
              <w:rPr>
                <w:color w:val="000000"/>
                <w:kern w:val="0"/>
                <w:sz w:val="20"/>
                <w:szCs w:val="20"/>
              </w:rPr>
            </w:pPr>
          </w:p>
        </w:tc>
        <w:tc>
          <w:tcPr>
            <w:tcW w:w="1262" w:type="dxa"/>
            <w:vMerge w:val="continue"/>
            <w:tcBorders>
              <w:top w:val="nil"/>
              <w:left w:val="single" w:color="auto" w:sz="4" w:space="0"/>
              <w:bottom w:val="single" w:color="auto" w:sz="4" w:space="0"/>
              <w:right w:val="single" w:color="auto" w:sz="4" w:space="0"/>
            </w:tcBorders>
            <w:vAlign w:val="center"/>
          </w:tcPr>
          <w:p w14:paraId="6F1C7A1F">
            <w:pPr>
              <w:widowControl/>
              <w:jc w:val="left"/>
              <w:rPr>
                <w:color w:val="000000"/>
                <w:kern w:val="0"/>
                <w:sz w:val="20"/>
                <w:szCs w:val="20"/>
              </w:rPr>
            </w:pPr>
          </w:p>
        </w:tc>
        <w:tc>
          <w:tcPr>
            <w:tcW w:w="1444" w:type="dxa"/>
            <w:gridSpan w:val="2"/>
            <w:tcBorders>
              <w:top w:val="single" w:color="auto" w:sz="4" w:space="0"/>
              <w:left w:val="nil"/>
              <w:bottom w:val="single" w:color="auto" w:sz="4" w:space="0"/>
              <w:right w:val="single" w:color="auto" w:sz="4" w:space="0"/>
            </w:tcBorders>
            <w:shd w:val="clear" w:color="auto" w:fill="auto"/>
            <w:vAlign w:val="center"/>
          </w:tcPr>
          <w:p w14:paraId="70560476">
            <w:pPr>
              <w:widowControl/>
              <w:jc w:val="center"/>
              <w:rPr>
                <w:color w:val="000000"/>
                <w:kern w:val="0"/>
                <w:sz w:val="20"/>
                <w:szCs w:val="20"/>
              </w:rPr>
            </w:pPr>
            <w:r>
              <w:rPr>
                <w:color w:val="000000"/>
                <w:kern w:val="0"/>
                <w:sz w:val="20"/>
                <w:szCs w:val="20"/>
              </w:rPr>
              <w:t>社会效益指标</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14:paraId="32BD0A7B">
            <w:pPr>
              <w:widowControl/>
              <w:jc w:val="center"/>
              <w:rPr>
                <w:color w:val="000000"/>
                <w:kern w:val="0"/>
                <w:sz w:val="20"/>
                <w:szCs w:val="20"/>
              </w:rPr>
            </w:pPr>
            <w:r>
              <w:rPr>
                <w:rFonts w:hint="eastAsia"/>
                <w:color w:val="000000"/>
                <w:kern w:val="0"/>
                <w:sz w:val="20"/>
                <w:szCs w:val="20"/>
              </w:rPr>
              <w:t>保障全市党政机关办公需要</w:t>
            </w:r>
          </w:p>
        </w:tc>
        <w:tc>
          <w:tcPr>
            <w:tcW w:w="2126" w:type="dxa"/>
            <w:tcBorders>
              <w:top w:val="nil"/>
              <w:left w:val="nil"/>
              <w:bottom w:val="single" w:color="auto" w:sz="4" w:space="0"/>
              <w:right w:val="single" w:color="auto" w:sz="4" w:space="0"/>
            </w:tcBorders>
            <w:shd w:val="clear" w:color="auto" w:fill="auto"/>
            <w:vAlign w:val="center"/>
          </w:tcPr>
          <w:p w14:paraId="4F11FF5E">
            <w:pPr>
              <w:widowControl/>
              <w:jc w:val="center"/>
              <w:rPr>
                <w:color w:val="000000"/>
                <w:kern w:val="0"/>
                <w:sz w:val="20"/>
                <w:szCs w:val="20"/>
              </w:rPr>
            </w:pPr>
            <w:r>
              <w:rPr>
                <w:rFonts w:hint="eastAsia"/>
                <w:color w:val="000000"/>
                <w:kern w:val="0"/>
                <w:sz w:val="20"/>
                <w:szCs w:val="20"/>
              </w:rPr>
              <w:t>保障全市党政机关办公需要</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14:paraId="29EADF42">
            <w:pPr>
              <w:widowControl/>
              <w:jc w:val="center"/>
              <w:rPr>
                <w:color w:val="000000"/>
                <w:kern w:val="0"/>
                <w:sz w:val="20"/>
                <w:szCs w:val="20"/>
              </w:rPr>
            </w:pPr>
            <w:r>
              <w:rPr>
                <w:rFonts w:hint="eastAsia"/>
                <w:color w:val="000000"/>
                <w:kern w:val="0"/>
                <w:sz w:val="20"/>
                <w:szCs w:val="20"/>
              </w:rPr>
              <w:t>已完成</w:t>
            </w:r>
          </w:p>
        </w:tc>
      </w:tr>
      <w:tr w14:paraId="5C374287">
        <w:tblPrEx>
          <w:tblCellMar>
            <w:top w:w="0" w:type="dxa"/>
            <w:left w:w="108" w:type="dxa"/>
            <w:bottom w:w="0" w:type="dxa"/>
            <w:right w:w="108" w:type="dxa"/>
          </w:tblCellMar>
        </w:tblPrEx>
        <w:trPr>
          <w:trHeight w:val="532" w:hRule="atLeast"/>
        </w:trPr>
        <w:tc>
          <w:tcPr>
            <w:tcW w:w="1264" w:type="dxa"/>
            <w:vMerge w:val="continue"/>
            <w:tcBorders>
              <w:top w:val="nil"/>
              <w:left w:val="single" w:color="auto" w:sz="4" w:space="0"/>
              <w:bottom w:val="single" w:color="auto" w:sz="4" w:space="0"/>
              <w:right w:val="single" w:color="auto" w:sz="4" w:space="0"/>
            </w:tcBorders>
            <w:vAlign w:val="center"/>
          </w:tcPr>
          <w:p w14:paraId="7545BC9D">
            <w:pPr>
              <w:widowControl/>
              <w:jc w:val="left"/>
              <w:rPr>
                <w:color w:val="000000"/>
                <w:kern w:val="0"/>
                <w:sz w:val="20"/>
                <w:szCs w:val="20"/>
              </w:rPr>
            </w:pPr>
          </w:p>
        </w:tc>
        <w:tc>
          <w:tcPr>
            <w:tcW w:w="1262" w:type="dxa"/>
            <w:vMerge w:val="continue"/>
            <w:tcBorders>
              <w:top w:val="nil"/>
              <w:left w:val="single" w:color="auto" w:sz="4" w:space="0"/>
              <w:bottom w:val="single" w:color="auto" w:sz="4" w:space="0"/>
              <w:right w:val="single" w:color="auto" w:sz="4" w:space="0"/>
            </w:tcBorders>
            <w:vAlign w:val="center"/>
          </w:tcPr>
          <w:p w14:paraId="2F15C879">
            <w:pPr>
              <w:widowControl/>
              <w:jc w:val="left"/>
              <w:rPr>
                <w:color w:val="000000"/>
                <w:kern w:val="0"/>
                <w:sz w:val="20"/>
                <w:szCs w:val="20"/>
              </w:rPr>
            </w:pPr>
          </w:p>
        </w:tc>
        <w:tc>
          <w:tcPr>
            <w:tcW w:w="1444" w:type="dxa"/>
            <w:gridSpan w:val="2"/>
            <w:tcBorders>
              <w:top w:val="single" w:color="auto" w:sz="4" w:space="0"/>
              <w:left w:val="nil"/>
              <w:bottom w:val="single" w:color="auto" w:sz="4" w:space="0"/>
              <w:right w:val="single" w:color="auto" w:sz="4" w:space="0"/>
            </w:tcBorders>
            <w:shd w:val="clear" w:color="auto" w:fill="auto"/>
            <w:vAlign w:val="center"/>
          </w:tcPr>
          <w:p w14:paraId="16A18028">
            <w:pPr>
              <w:widowControl/>
              <w:jc w:val="center"/>
              <w:rPr>
                <w:color w:val="000000"/>
                <w:kern w:val="0"/>
                <w:sz w:val="20"/>
                <w:szCs w:val="20"/>
              </w:rPr>
            </w:pPr>
            <w:r>
              <w:rPr>
                <w:rFonts w:hint="eastAsia"/>
                <w:color w:val="000000"/>
                <w:kern w:val="0"/>
                <w:sz w:val="20"/>
                <w:szCs w:val="20"/>
              </w:rPr>
              <w:t>生态效益</w:t>
            </w:r>
          </w:p>
          <w:p w14:paraId="5D7576F7">
            <w:pPr>
              <w:widowControl/>
              <w:jc w:val="center"/>
              <w:rPr>
                <w:color w:val="000000"/>
                <w:kern w:val="0"/>
                <w:sz w:val="20"/>
                <w:szCs w:val="20"/>
              </w:rPr>
            </w:pPr>
            <w:r>
              <w:rPr>
                <w:rFonts w:hint="eastAsia"/>
                <w:color w:val="000000"/>
                <w:kern w:val="0"/>
                <w:sz w:val="20"/>
                <w:szCs w:val="20"/>
              </w:rPr>
              <w:t>指标</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14:paraId="5202FA30">
            <w:pPr>
              <w:widowControl/>
              <w:jc w:val="center"/>
              <w:rPr>
                <w:color w:val="000000"/>
                <w:kern w:val="0"/>
                <w:sz w:val="20"/>
                <w:szCs w:val="20"/>
              </w:rPr>
            </w:pPr>
            <w:r>
              <w:rPr>
                <w:rFonts w:hint="eastAsia"/>
                <w:color w:val="000000"/>
                <w:kern w:val="0"/>
                <w:sz w:val="20"/>
                <w:szCs w:val="20"/>
              </w:rPr>
              <w:t>电子化办公节约耗材</w:t>
            </w:r>
          </w:p>
        </w:tc>
        <w:tc>
          <w:tcPr>
            <w:tcW w:w="2126" w:type="dxa"/>
            <w:tcBorders>
              <w:top w:val="nil"/>
              <w:left w:val="nil"/>
              <w:bottom w:val="single" w:color="auto" w:sz="4" w:space="0"/>
              <w:right w:val="single" w:color="auto" w:sz="4" w:space="0"/>
            </w:tcBorders>
            <w:shd w:val="clear" w:color="auto" w:fill="auto"/>
            <w:vAlign w:val="center"/>
          </w:tcPr>
          <w:p w14:paraId="0E864F7C">
            <w:pPr>
              <w:widowControl/>
              <w:jc w:val="center"/>
              <w:rPr>
                <w:color w:val="000000"/>
                <w:kern w:val="0"/>
                <w:sz w:val="20"/>
                <w:szCs w:val="20"/>
              </w:rPr>
            </w:pPr>
            <w:r>
              <w:rPr>
                <w:rFonts w:hint="eastAsia"/>
                <w:color w:val="000000"/>
                <w:kern w:val="0"/>
                <w:sz w:val="20"/>
                <w:szCs w:val="20"/>
              </w:rPr>
              <w:t>节约成本，加快办公效率</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14:paraId="7A2B62B7">
            <w:pPr>
              <w:widowControl/>
              <w:jc w:val="center"/>
              <w:rPr>
                <w:color w:val="000000"/>
                <w:kern w:val="0"/>
                <w:sz w:val="20"/>
                <w:szCs w:val="20"/>
              </w:rPr>
            </w:pPr>
            <w:r>
              <w:rPr>
                <w:rFonts w:hint="eastAsia"/>
                <w:color w:val="000000"/>
                <w:kern w:val="0"/>
                <w:sz w:val="20"/>
                <w:szCs w:val="20"/>
              </w:rPr>
              <w:t>绿色办公</w:t>
            </w:r>
          </w:p>
        </w:tc>
      </w:tr>
      <w:tr w14:paraId="5C6EFFF1">
        <w:tblPrEx>
          <w:tblCellMar>
            <w:top w:w="0" w:type="dxa"/>
            <w:left w:w="108" w:type="dxa"/>
            <w:bottom w:w="0" w:type="dxa"/>
            <w:right w:w="108" w:type="dxa"/>
          </w:tblCellMar>
        </w:tblPrEx>
        <w:trPr>
          <w:trHeight w:val="540" w:hRule="atLeast"/>
        </w:trPr>
        <w:tc>
          <w:tcPr>
            <w:tcW w:w="1264" w:type="dxa"/>
            <w:vMerge w:val="continue"/>
            <w:tcBorders>
              <w:top w:val="nil"/>
              <w:left w:val="single" w:color="auto" w:sz="4" w:space="0"/>
              <w:bottom w:val="nil"/>
              <w:right w:val="single" w:color="auto" w:sz="4" w:space="0"/>
            </w:tcBorders>
            <w:vAlign w:val="center"/>
          </w:tcPr>
          <w:p w14:paraId="02B02632">
            <w:pPr>
              <w:widowControl/>
              <w:jc w:val="left"/>
              <w:rPr>
                <w:color w:val="000000"/>
                <w:kern w:val="0"/>
                <w:sz w:val="20"/>
                <w:szCs w:val="20"/>
              </w:rPr>
            </w:pPr>
          </w:p>
        </w:tc>
        <w:tc>
          <w:tcPr>
            <w:tcW w:w="1262" w:type="dxa"/>
            <w:tcBorders>
              <w:top w:val="nil"/>
              <w:left w:val="nil"/>
              <w:bottom w:val="nil"/>
              <w:right w:val="single" w:color="auto" w:sz="4" w:space="0"/>
            </w:tcBorders>
            <w:shd w:val="clear" w:color="auto" w:fill="auto"/>
            <w:vAlign w:val="center"/>
          </w:tcPr>
          <w:p w14:paraId="5ADBE221">
            <w:pPr>
              <w:widowControl/>
              <w:jc w:val="center"/>
              <w:rPr>
                <w:color w:val="000000"/>
                <w:kern w:val="0"/>
                <w:sz w:val="20"/>
                <w:szCs w:val="20"/>
              </w:rPr>
            </w:pPr>
            <w:r>
              <w:rPr>
                <w:color w:val="000000"/>
                <w:kern w:val="0"/>
                <w:sz w:val="20"/>
                <w:szCs w:val="20"/>
              </w:rPr>
              <w:t>满意度指标</w:t>
            </w:r>
          </w:p>
        </w:tc>
        <w:tc>
          <w:tcPr>
            <w:tcW w:w="1444" w:type="dxa"/>
            <w:gridSpan w:val="2"/>
            <w:tcBorders>
              <w:top w:val="single" w:color="auto" w:sz="4" w:space="0"/>
              <w:left w:val="nil"/>
              <w:bottom w:val="single" w:color="auto" w:sz="4" w:space="0"/>
              <w:right w:val="single" w:color="auto" w:sz="4" w:space="0"/>
            </w:tcBorders>
            <w:shd w:val="clear" w:color="auto" w:fill="auto"/>
            <w:vAlign w:val="center"/>
          </w:tcPr>
          <w:p w14:paraId="654045E3">
            <w:pPr>
              <w:widowControl/>
              <w:jc w:val="center"/>
              <w:rPr>
                <w:color w:val="000000"/>
                <w:kern w:val="0"/>
                <w:sz w:val="20"/>
                <w:szCs w:val="20"/>
              </w:rPr>
            </w:pPr>
            <w:r>
              <w:rPr>
                <w:color w:val="000000"/>
                <w:kern w:val="0"/>
                <w:sz w:val="20"/>
                <w:szCs w:val="20"/>
              </w:rPr>
              <w:t>满意度指标</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14:paraId="13C9FE0A">
            <w:pPr>
              <w:widowControl/>
              <w:jc w:val="center"/>
              <w:rPr>
                <w:color w:val="000000"/>
                <w:kern w:val="0"/>
                <w:sz w:val="20"/>
                <w:szCs w:val="20"/>
              </w:rPr>
            </w:pPr>
            <w:r>
              <w:rPr>
                <w:rFonts w:hint="eastAsia"/>
                <w:color w:val="000000"/>
                <w:kern w:val="0"/>
                <w:sz w:val="20"/>
                <w:szCs w:val="20"/>
              </w:rPr>
              <w:t>用户</w:t>
            </w:r>
            <w:r>
              <w:rPr>
                <w:color w:val="000000"/>
                <w:kern w:val="0"/>
                <w:sz w:val="20"/>
                <w:szCs w:val="20"/>
              </w:rPr>
              <w:t>满意度</w:t>
            </w:r>
          </w:p>
        </w:tc>
        <w:tc>
          <w:tcPr>
            <w:tcW w:w="2126" w:type="dxa"/>
            <w:tcBorders>
              <w:top w:val="nil"/>
              <w:left w:val="nil"/>
              <w:bottom w:val="nil"/>
              <w:right w:val="single" w:color="auto" w:sz="4" w:space="0"/>
            </w:tcBorders>
            <w:shd w:val="clear" w:color="auto" w:fill="auto"/>
            <w:vAlign w:val="center"/>
          </w:tcPr>
          <w:p w14:paraId="6FBB0FD6">
            <w:pPr>
              <w:widowControl/>
              <w:jc w:val="center"/>
              <w:rPr>
                <w:color w:val="000000"/>
                <w:kern w:val="0"/>
                <w:sz w:val="20"/>
                <w:szCs w:val="20"/>
              </w:rPr>
            </w:pPr>
            <w:r>
              <w:rPr>
                <w:color w:val="000000"/>
                <w:kern w:val="0"/>
                <w:sz w:val="20"/>
                <w:szCs w:val="20"/>
              </w:rPr>
              <w:t>满意</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14:paraId="4B647B10">
            <w:pPr>
              <w:widowControl/>
              <w:jc w:val="center"/>
              <w:rPr>
                <w:color w:val="000000"/>
                <w:kern w:val="0"/>
                <w:sz w:val="20"/>
                <w:szCs w:val="20"/>
              </w:rPr>
            </w:pPr>
            <w:r>
              <w:rPr>
                <w:color w:val="000000"/>
                <w:kern w:val="0"/>
                <w:sz w:val="20"/>
                <w:szCs w:val="20"/>
              </w:rPr>
              <w:t>满意</w:t>
            </w:r>
          </w:p>
        </w:tc>
      </w:tr>
    </w:tbl>
    <w:p w14:paraId="01BB0525">
      <w:pPr>
        <w:spacing w:line="600" w:lineRule="exact"/>
        <w:outlineLvl w:val="0"/>
        <w:rPr>
          <w:rFonts w:hint="eastAsia" w:eastAsia="黑体"/>
          <w:sz w:val="44"/>
          <w:szCs w:val="44"/>
        </w:rPr>
      </w:pPr>
      <w:bookmarkStart w:id="63" w:name="_Toc15396618"/>
    </w:p>
    <w:tbl>
      <w:tblPr>
        <w:tblStyle w:val="13"/>
        <w:tblW w:w="9140" w:type="dxa"/>
        <w:tblInd w:w="93" w:type="dxa"/>
        <w:tblLayout w:type="autofit"/>
        <w:tblCellMar>
          <w:top w:w="0" w:type="dxa"/>
          <w:left w:w="108" w:type="dxa"/>
          <w:bottom w:w="0" w:type="dxa"/>
          <w:right w:w="108" w:type="dxa"/>
        </w:tblCellMar>
      </w:tblPr>
      <w:tblGrid>
        <w:gridCol w:w="740"/>
        <w:gridCol w:w="740"/>
        <w:gridCol w:w="700"/>
        <w:gridCol w:w="2340"/>
        <w:gridCol w:w="1360"/>
        <w:gridCol w:w="840"/>
        <w:gridCol w:w="1300"/>
        <w:gridCol w:w="1120"/>
      </w:tblGrid>
      <w:tr w14:paraId="3E5825A1">
        <w:tblPrEx>
          <w:tblCellMar>
            <w:top w:w="0" w:type="dxa"/>
            <w:left w:w="108" w:type="dxa"/>
            <w:bottom w:w="0" w:type="dxa"/>
            <w:right w:w="108" w:type="dxa"/>
          </w:tblCellMar>
        </w:tblPrEx>
        <w:trPr>
          <w:trHeight w:val="675" w:hRule="atLeast"/>
        </w:trPr>
        <w:tc>
          <w:tcPr>
            <w:tcW w:w="9140" w:type="dxa"/>
            <w:gridSpan w:val="8"/>
            <w:tcBorders>
              <w:top w:val="nil"/>
              <w:left w:val="nil"/>
              <w:bottom w:val="nil"/>
              <w:right w:val="nil"/>
            </w:tcBorders>
            <w:shd w:val="clear" w:color="auto" w:fill="auto"/>
            <w:vAlign w:val="center"/>
          </w:tcPr>
          <w:p w14:paraId="30D182BB">
            <w:pPr>
              <w:widowControl/>
              <w:jc w:val="center"/>
              <w:rPr>
                <w:rFonts w:ascii="宋体" w:hAnsi="宋体" w:cs="宋体"/>
                <w:b/>
                <w:bCs/>
                <w:kern w:val="0"/>
                <w:sz w:val="32"/>
                <w:szCs w:val="32"/>
              </w:rPr>
            </w:pPr>
            <w:r>
              <w:rPr>
                <w:rFonts w:hint="eastAsia" w:ascii="宋体" w:hAnsi="宋体" w:cs="宋体"/>
                <w:b/>
                <w:bCs/>
                <w:kern w:val="0"/>
                <w:sz w:val="32"/>
                <w:szCs w:val="32"/>
              </w:rPr>
              <w:t>专项（项目）资金绩效自评表</w:t>
            </w:r>
          </w:p>
        </w:tc>
      </w:tr>
      <w:tr w14:paraId="21288E73">
        <w:tblPrEx>
          <w:tblCellMar>
            <w:top w:w="0" w:type="dxa"/>
            <w:left w:w="108" w:type="dxa"/>
            <w:bottom w:w="0" w:type="dxa"/>
            <w:right w:w="108" w:type="dxa"/>
          </w:tblCellMar>
        </w:tblPrEx>
        <w:trPr>
          <w:trHeight w:val="285" w:hRule="atLeast"/>
        </w:trPr>
        <w:tc>
          <w:tcPr>
            <w:tcW w:w="9140" w:type="dxa"/>
            <w:gridSpan w:val="8"/>
            <w:tcBorders>
              <w:top w:val="nil"/>
              <w:left w:val="nil"/>
              <w:bottom w:val="nil"/>
              <w:right w:val="nil"/>
            </w:tcBorders>
            <w:shd w:val="clear" w:color="auto" w:fill="auto"/>
            <w:vAlign w:val="center"/>
          </w:tcPr>
          <w:p w14:paraId="6A6DBEA2">
            <w:pPr>
              <w:widowControl/>
              <w:jc w:val="center"/>
              <w:rPr>
                <w:rFonts w:ascii="宋体" w:hAnsi="宋体" w:cs="宋体"/>
                <w:kern w:val="0"/>
                <w:sz w:val="24"/>
              </w:rPr>
            </w:pPr>
            <w:r>
              <w:rPr>
                <w:rFonts w:hint="eastAsia" w:ascii="宋体" w:hAnsi="宋体" w:cs="宋体"/>
                <w:kern w:val="0"/>
                <w:sz w:val="24"/>
              </w:rPr>
              <w:t>（</w:t>
            </w:r>
            <w:r>
              <w:rPr>
                <w:kern w:val="0"/>
                <w:sz w:val="24"/>
              </w:rPr>
              <w:t>2021</w:t>
            </w:r>
            <w:r>
              <w:rPr>
                <w:rFonts w:hint="eastAsia" w:ascii="宋体" w:hAnsi="宋体" w:cs="宋体"/>
                <w:kern w:val="0"/>
                <w:sz w:val="24"/>
              </w:rPr>
              <w:t>年度）</w:t>
            </w:r>
          </w:p>
        </w:tc>
      </w:tr>
      <w:tr w14:paraId="1BE7059F">
        <w:tblPrEx>
          <w:tblCellMar>
            <w:top w:w="0" w:type="dxa"/>
            <w:left w:w="108" w:type="dxa"/>
            <w:bottom w:w="0" w:type="dxa"/>
            <w:right w:w="108" w:type="dxa"/>
          </w:tblCellMar>
        </w:tblPrEx>
        <w:trPr>
          <w:trHeight w:val="439" w:hRule="atLeast"/>
        </w:trPr>
        <w:tc>
          <w:tcPr>
            <w:tcW w:w="21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09950BA9">
            <w:pPr>
              <w:widowControl/>
              <w:jc w:val="center"/>
              <w:rPr>
                <w:rFonts w:ascii="宋体" w:hAnsi="宋体" w:cs="宋体"/>
                <w:kern w:val="0"/>
                <w:sz w:val="22"/>
                <w:szCs w:val="22"/>
              </w:rPr>
            </w:pPr>
            <w:r>
              <w:rPr>
                <w:rFonts w:hint="eastAsia" w:ascii="宋体" w:hAnsi="宋体" w:cs="宋体"/>
                <w:kern w:val="0"/>
                <w:sz w:val="22"/>
                <w:szCs w:val="22"/>
              </w:rPr>
              <w:t>专项（项目）名称</w:t>
            </w:r>
          </w:p>
        </w:tc>
        <w:tc>
          <w:tcPr>
            <w:tcW w:w="6960" w:type="dxa"/>
            <w:gridSpan w:val="5"/>
            <w:tcBorders>
              <w:top w:val="single" w:color="auto" w:sz="4" w:space="0"/>
              <w:left w:val="nil"/>
              <w:bottom w:val="single" w:color="auto" w:sz="4" w:space="0"/>
              <w:right w:val="single" w:color="000000" w:sz="4" w:space="0"/>
            </w:tcBorders>
            <w:shd w:val="clear" w:color="auto" w:fill="auto"/>
            <w:vAlign w:val="center"/>
          </w:tcPr>
          <w:p w14:paraId="2720027F">
            <w:pPr>
              <w:widowControl/>
              <w:jc w:val="center"/>
              <w:rPr>
                <w:rFonts w:ascii="宋体" w:hAnsi="宋体" w:cs="宋体"/>
                <w:kern w:val="0"/>
                <w:sz w:val="22"/>
                <w:szCs w:val="22"/>
              </w:rPr>
            </w:pPr>
            <w:r>
              <w:rPr>
                <w:rFonts w:hint="eastAsia" w:ascii="宋体" w:hAnsi="宋体" w:cs="宋体"/>
                <w:kern w:val="0"/>
                <w:sz w:val="22"/>
                <w:szCs w:val="22"/>
              </w:rPr>
              <w:t>争取资金专项工作经费</w:t>
            </w:r>
          </w:p>
        </w:tc>
      </w:tr>
      <w:tr w14:paraId="03E504F5">
        <w:tblPrEx>
          <w:tblCellMar>
            <w:top w:w="0" w:type="dxa"/>
            <w:left w:w="108" w:type="dxa"/>
            <w:bottom w:w="0" w:type="dxa"/>
            <w:right w:w="108" w:type="dxa"/>
          </w:tblCellMar>
        </w:tblPrEx>
        <w:trPr>
          <w:trHeight w:val="439" w:hRule="atLeast"/>
        </w:trPr>
        <w:tc>
          <w:tcPr>
            <w:tcW w:w="21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2C5FFFD6">
            <w:pPr>
              <w:widowControl/>
              <w:jc w:val="center"/>
              <w:rPr>
                <w:rFonts w:ascii="宋体" w:hAnsi="宋体" w:cs="宋体"/>
                <w:kern w:val="0"/>
                <w:sz w:val="22"/>
                <w:szCs w:val="22"/>
              </w:rPr>
            </w:pPr>
            <w:r>
              <w:rPr>
                <w:rFonts w:hint="eastAsia" w:ascii="宋体" w:hAnsi="宋体" w:cs="宋体"/>
                <w:kern w:val="0"/>
                <w:sz w:val="22"/>
                <w:szCs w:val="22"/>
              </w:rPr>
              <w:t>项目主管单位</w:t>
            </w:r>
          </w:p>
        </w:tc>
        <w:tc>
          <w:tcPr>
            <w:tcW w:w="6960" w:type="dxa"/>
            <w:gridSpan w:val="5"/>
            <w:tcBorders>
              <w:top w:val="single" w:color="auto" w:sz="4" w:space="0"/>
              <w:left w:val="nil"/>
              <w:bottom w:val="single" w:color="auto" w:sz="4" w:space="0"/>
              <w:right w:val="single" w:color="000000" w:sz="4" w:space="0"/>
            </w:tcBorders>
            <w:shd w:val="clear" w:color="auto" w:fill="auto"/>
            <w:vAlign w:val="center"/>
          </w:tcPr>
          <w:p w14:paraId="10B78EB9">
            <w:pPr>
              <w:widowControl/>
              <w:jc w:val="center"/>
              <w:rPr>
                <w:rFonts w:ascii="宋体" w:hAnsi="宋体" w:cs="宋体"/>
                <w:kern w:val="0"/>
                <w:sz w:val="22"/>
                <w:szCs w:val="22"/>
              </w:rPr>
            </w:pPr>
            <w:r>
              <w:rPr>
                <w:rFonts w:hint="eastAsia" w:ascii="宋体" w:hAnsi="宋体" w:cs="宋体"/>
                <w:kern w:val="0"/>
                <w:sz w:val="22"/>
                <w:szCs w:val="22"/>
              </w:rPr>
              <w:t>市经济和信息化局</w:t>
            </w:r>
          </w:p>
        </w:tc>
      </w:tr>
      <w:tr w14:paraId="0E2CDC35">
        <w:tblPrEx>
          <w:tblCellMar>
            <w:top w:w="0" w:type="dxa"/>
            <w:left w:w="108" w:type="dxa"/>
            <w:bottom w:w="0" w:type="dxa"/>
            <w:right w:w="108" w:type="dxa"/>
          </w:tblCellMar>
        </w:tblPrEx>
        <w:trPr>
          <w:trHeight w:val="439" w:hRule="atLeast"/>
        </w:trPr>
        <w:tc>
          <w:tcPr>
            <w:tcW w:w="21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49BC8256">
            <w:pPr>
              <w:widowControl/>
              <w:jc w:val="center"/>
              <w:rPr>
                <w:rFonts w:ascii="宋体" w:hAnsi="宋体" w:cs="宋体"/>
                <w:kern w:val="0"/>
                <w:sz w:val="22"/>
                <w:szCs w:val="22"/>
              </w:rPr>
            </w:pPr>
            <w:r>
              <w:rPr>
                <w:rFonts w:hint="eastAsia" w:ascii="宋体" w:hAnsi="宋体" w:cs="宋体"/>
                <w:kern w:val="0"/>
                <w:sz w:val="22"/>
                <w:szCs w:val="22"/>
              </w:rPr>
              <w:t>项目实施单位</w:t>
            </w:r>
          </w:p>
        </w:tc>
        <w:tc>
          <w:tcPr>
            <w:tcW w:w="6960" w:type="dxa"/>
            <w:gridSpan w:val="5"/>
            <w:tcBorders>
              <w:top w:val="single" w:color="auto" w:sz="4" w:space="0"/>
              <w:left w:val="nil"/>
              <w:bottom w:val="single" w:color="auto" w:sz="4" w:space="0"/>
              <w:right w:val="single" w:color="000000" w:sz="4" w:space="0"/>
            </w:tcBorders>
            <w:shd w:val="clear" w:color="auto" w:fill="auto"/>
            <w:vAlign w:val="center"/>
          </w:tcPr>
          <w:p w14:paraId="2ABB7573">
            <w:pPr>
              <w:widowControl/>
              <w:jc w:val="center"/>
              <w:rPr>
                <w:rFonts w:ascii="宋体" w:hAnsi="宋体" w:cs="宋体"/>
                <w:kern w:val="0"/>
                <w:sz w:val="22"/>
                <w:szCs w:val="22"/>
              </w:rPr>
            </w:pPr>
            <w:r>
              <w:rPr>
                <w:rFonts w:hint="eastAsia" w:ascii="宋体" w:hAnsi="宋体" w:cs="宋体"/>
                <w:kern w:val="0"/>
                <w:sz w:val="22"/>
                <w:szCs w:val="22"/>
              </w:rPr>
              <w:t>市经济和信息化局</w:t>
            </w:r>
          </w:p>
        </w:tc>
      </w:tr>
      <w:tr w14:paraId="38D70313">
        <w:tblPrEx>
          <w:tblCellMar>
            <w:top w:w="0" w:type="dxa"/>
            <w:left w:w="108" w:type="dxa"/>
            <w:bottom w:w="0" w:type="dxa"/>
            <w:right w:w="108" w:type="dxa"/>
          </w:tblCellMar>
        </w:tblPrEx>
        <w:trPr>
          <w:trHeight w:val="615" w:hRule="atLeast"/>
        </w:trPr>
        <w:tc>
          <w:tcPr>
            <w:tcW w:w="2180"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B9AB3EF">
            <w:pPr>
              <w:widowControl/>
              <w:jc w:val="center"/>
              <w:rPr>
                <w:rFonts w:ascii="宋体" w:hAnsi="宋体" w:cs="宋体"/>
                <w:kern w:val="0"/>
                <w:sz w:val="22"/>
                <w:szCs w:val="22"/>
              </w:rPr>
            </w:pPr>
            <w:r>
              <w:rPr>
                <w:rFonts w:hint="eastAsia" w:ascii="宋体" w:hAnsi="宋体" w:cs="宋体"/>
                <w:kern w:val="0"/>
                <w:sz w:val="22"/>
                <w:szCs w:val="22"/>
              </w:rPr>
              <w:t>项目资金</w:t>
            </w:r>
            <w:r>
              <w:rPr>
                <w:rFonts w:hint="eastAsia" w:ascii="宋体" w:hAnsi="宋体" w:cs="宋体"/>
                <w:kern w:val="0"/>
                <w:sz w:val="22"/>
                <w:szCs w:val="22"/>
              </w:rPr>
              <w:br w:type="textWrapping"/>
            </w:r>
            <w:r>
              <w:rPr>
                <w:rFonts w:hint="eastAsia" w:ascii="宋体" w:hAnsi="宋体" w:cs="宋体"/>
                <w:kern w:val="0"/>
                <w:sz w:val="22"/>
                <w:szCs w:val="22"/>
              </w:rPr>
              <w:t>（万元）</w:t>
            </w:r>
          </w:p>
        </w:tc>
        <w:tc>
          <w:tcPr>
            <w:tcW w:w="2340" w:type="dxa"/>
            <w:tcBorders>
              <w:top w:val="nil"/>
              <w:left w:val="nil"/>
              <w:bottom w:val="single" w:color="auto" w:sz="4" w:space="0"/>
              <w:right w:val="single" w:color="auto" w:sz="4" w:space="0"/>
            </w:tcBorders>
            <w:shd w:val="clear" w:color="auto" w:fill="auto"/>
            <w:vAlign w:val="center"/>
          </w:tcPr>
          <w:p w14:paraId="6BE0C7E5">
            <w:pPr>
              <w:widowControl/>
              <w:jc w:val="center"/>
              <w:rPr>
                <w:rFonts w:ascii="宋体" w:hAnsi="宋体" w:cs="宋体"/>
                <w:kern w:val="0"/>
                <w:sz w:val="22"/>
                <w:szCs w:val="22"/>
              </w:rPr>
            </w:pPr>
            <w:r>
              <w:rPr>
                <w:rFonts w:hint="eastAsia" w:ascii="宋体" w:hAnsi="宋体" w:cs="宋体"/>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14:paraId="29C055FB">
            <w:pPr>
              <w:widowControl/>
              <w:jc w:val="center"/>
              <w:rPr>
                <w:rFonts w:ascii="宋体" w:hAnsi="宋体" w:cs="宋体"/>
                <w:kern w:val="0"/>
                <w:sz w:val="22"/>
                <w:szCs w:val="22"/>
              </w:rPr>
            </w:pPr>
            <w:r>
              <w:rPr>
                <w:rFonts w:hint="eastAsia" w:ascii="宋体" w:hAnsi="宋体" w:cs="宋体"/>
                <w:kern w:val="0"/>
                <w:sz w:val="22"/>
                <w:szCs w:val="22"/>
              </w:rPr>
              <w:t>全年预算数</w:t>
            </w:r>
          </w:p>
        </w:tc>
        <w:tc>
          <w:tcPr>
            <w:tcW w:w="840" w:type="dxa"/>
            <w:tcBorders>
              <w:top w:val="nil"/>
              <w:left w:val="nil"/>
              <w:bottom w:val="single" w:color="auto" w:sz="4" w:space="0"/>
              <w:right w:val="single" w:color="auto" w:sz="4" w:space="0"/>
            </w:tcBorders>
            <w:shd w:val="clear" w:color="auto" w:fill="auto"/>
            <w:vAlign w:val="center"/>
          </w:tcPr>
          <w:p w14:paraId="5A571427">
            <w:pPr>
              <w:widowControl/>
              <w:jc w:val="center"/>
              <w:rPr>
                <w:rFonts w:ascii="宋体" w:hAnsi="宋体" w:cs="宋体"/>
                <w:kern w:val="0"/>
                <w:sz w:val="22"/>
                <w:szCs w:val="22"/>
              </w:rPr>
            </w:pPr>
            <w:r>
              <w:rPr>
                <w:rFonts w:hint="eastAsia" w:ascii="宋体" w:hAnsi="宋体" w:cs="宋体"/>
                <w:kern w:val="0"/>
                <w:sz w:val="22"/>
                <w:szCs w:val="22"/>
              </w:rPr>
              <w:t>实际完成数</w:t>
            </w:r>
          </w:p>
        </w:tc>
        <w:tc>
          <w:tcPr>
            <w:tcW w:w="2420" w:type="dxa"/>
            <w:gridSpan w:val="2"/>
            <w:tcBorders>
              <w:top w:val="single" w:color="auto" w:sz="4" w:space="0"/>
              <w:left w:val="nil"/>
              <w:bottom w:val="single" w:color="auto" w:sz="4" w:space="0"/>
              <w:right w:val="single" w:color="000000" w:sz="4" w:space="0"/>
            </w:tcBorders>
            <w:shd w:val="clear" w:color="auto" w:fill="auto"/>
            <w:vAlign w:val="center"/>
          </w:tcPr>
          <w:p w14:paraId="08FBC828">
            <w:pPr>
              <w:widowControl/>
              <w:jc w:val="center"/>
              <w:rPr>
                <w:rFonts w:ascii="宋体" w:hAnsi="宋体" w:cs="宋体"/>
                <w:kern w:val="0"/>
                <w:sz w:val="22"/>
                <w:szCs w:val="22"/>
              </w:rPr>
            </w:pPr>
            <w:r>
              <w:rPr>
                <w:rFonts w:hint="eastAsia" w:ascii="宋体" w:hAnsi="宋体" w:cs="宋体"/>
                <w:kern w:val="0"/>
                <w:sz w:val="22"/>
                <w:szCs w:val="22"/>
              </w:rPr>
              <w:t>执行率（%）</w:t>
            </w:r>
          </w:p>
        </w:tc>
      </w:tr>
      <w:tr w14:paraId="16A9A05D">
        <w:tblPrEx>
          <w:tblCellMar>
            <w:top w:w="0" w:type="dxa"/>
            <w:left w:w="108" w:type="dxa"/>
            <w:bottom w:w="0" w:type="dxa"/>
            <w:right w:w="108" w:type="dxa"/>
          </w:tblCellMar>
        </w:tblPrEx>
        <w:trPr>
          <w:trHeight w:val="439" w:hRule="atLeast"/>
        </w:trPr>
        <w:tc>
          <w:tcPr>
            <w:tcW w:w="2180" w:type="dxa"/>
            <w:gridSpan w:val="3"/>
            <w:vMerge w:val="continue"/>
            <w:tcBorders>
              <w:top w:val="single" w:color="auto" w:sz="4" w:space="0"/>
              <w:left w:val="single" w:color="auto" w:sz="4" w:space="0"/>
              <w:bottom w:val="single" w:color="000000" w:sz="4" w:space="0"/>
              <w:right w:val="single" w:color="000000" w:sz="4" w:space="0"/>
            </w:tcBorders>
            <w:vAlign w:val="center"/>
          </w:tcPr>
          <w:p w14:paraId="47244E5E">
            <w:pPr>
              <w:widowControl/>
              <w:jc w:val="left"/>
              <w:rPr>
                <w:rFonts w:ascii="宋体" w:hAnsi="宋体" w:cs="宋体"/>
                <w:kern w:val="0"/>
                <w:sz w:val="22"/>
                <w:szCs w:val="22"/>
              </w:rPr>
            </w:pPr>
          </w:p>
        </w:tc>
        <w:tc>
          <w:tcPr>
            <w:tcW w:w="2340" w:type="dxa"/>
            <w:tcBorders>
              <w:top w:val="nil"/>
              <w:left w:val="nil"/>
              <w:bottom w:val="single" w:color="auto" w:sz="4" w:space="0"/>
              <w:right w:val="single" w:color="auto" w:sz="4" w:space="0"/>
            </w:tcBorders>
            <w:shd w:val="clear" w:color="auto" w:fill="auto"/>
            <w:vAlign w:val="center"/>
          </w:tcPr>
          <w:p w14:paraId="343295B3">
            <w:pPr>
              <w:widowControl/>
              <w:jc w:val="left"/>
              <w:rPr>
                <w:rFonts w:ascii="宋体" w:hAnsi="宋体" w:cs="宋体"/>
                <w:kern w:val="0"/>
                <w:sz w:val="22"/>
                <w:szCs w:val="22"/>
              </w:rPr>
            </w:pPr>
            <w:r>
              <w:rPr>
                <w:rFonts w:hint="eastAsia" w:ascii="宋体" w:hAnsi="宋体" w:cs="宋体"/>
                <w:kern w:val="0"/>
                <w:sz w:val="22"/>
                <w:szCs w:val="22"/>
              </w:rPr>
              <w:t xml:space="preserve"> 年度资金总额：</w:t>
            </w:r>
          </w:p>
        </w:tc>
        <w:tc>
          <w:tcPr>
            <w:tcW w:w="1360" w:type="dxa"/>
            <w:tcBorders>
              <w:top w:val="nil"/>
              <w:left w:val="nil"/>
              <w:bottom w:val="single" w:color="auto" w:sz="4" w:space="0"/>
              <w:right w:val="single" w:color="auto" w:sz="4" w:space="0"/>
            </w:tcBorders>
            <w:shd w:val="clear" w:color="auto" w:fill="auto"/>
            <w:vAlign w:val="center"/>
          </w:tcPr>
          <w:p w14:paraId="30C936D5">
            <w:pPr>
              <w:widowControl/>
              <w:jc w:val="center"/>
              <w:rPr>
                <w:rFonts w:ascii="宋体" w:hAnsi="宋体" w:cs="宋体"/>
                <w:kern w:val="0"/>
                <w:sz w:val="22"/>
                <w:szCs w:val="22"/>
              </w:rPr>
            </w:pPr>
            <w:r>
              <w:rPr>
                <w:rFonts w:hint="eastAsia" w:ascii="宋体" w:hAnsi="宋体" w:cs="宋体"/>
                <w:kern w:val="0"/>
                <w:sz w:val="22"/>
                <w:szCs w:val="22"/>
              </w:rPr>
              <w:t>10</w:t>
            </w:r>
          </w:p>
        </w:tc>
        <w:tc>
          <w:tcPr>
            <w:tcW w:w="840" w:type="dxa"/>
            <w:tcBorders>
              <w:top w:val="nil"/>
              <w:left w:val="nil"/>
              <w:bottom w:val="single" w:color="auto" w:sz="4" w:space="0"/>
              <w:right w:val="single" w:color="auto" w:sz="4" w:space="0"/>
            </w:tcBorders>
            <w:shd w:val="clear" w:color="auto" w:fill="auto"/>
            <w:vAlign w:val="center"/>
          </w:tcPr>
          <w:p w14:paraId="6C6805C7">
            <w:pPr>
              <w:widowControl/>
              <w:jc w:val="center"/>
              <w:rPr>
                <w:rFonts w:ascii="宋体" w:hAnsi="宋体" w:cs="宋体"/>
                <w:kern w:val="0"/>
                <w:sz w:val="22"/>
                <w:szCs w:val="22"/>
              </w:rPr>
            </w:pPr>
            <w:r>
              <w:rPr>
                <w:rFonts w:hint="eastAsia" w:ascii="宋体" w:hAnsi="宋体" w:cs="宋体"/>
                <w:kern w:val="0"/>
                <w:sz w:val="22"/>
                <w:szCs w:val="22"/>
              </w:rPr>
              <w:t>10</w:t>
            </w:r>
          </w:p>
        </w:tc>
        <w:tc>
          <w:tcPr>
            <w:tcW w:w="2420" w:type="dxa"/>
            <w:gridSpan w:val="2"/>
            <w:tcBorders>
              <w:top w:val="single" w:color="auto" w:sz="4" w:space="0"/>
              <w:left w:val="nil"/>
              <w:bottom w:val="single" w:color="auto" w:sz="4" w:space="0"/>
              <w:right w:val="single" w:color="000000" w:sz="4" w:space="0"/>
            </w:tcBorders>
            <w:shd w:val="clear" w:color="auto" w:fill="auto"/>
            <w:vAlign w:val="center"/>
          </w:tcPr>
          <w:p w14:paraId="0684F65D">
            <w:pPr>
              <w:widowControl/>
              <w:jc w:val="center"/>
              <w:rPr>
                <w:rFonts w:ascii="宋体" w:hAnsi="宋体" w:cs="宋体"/>
                <w:kern w:val="0"/>
                <w:sz w:val="22"/>
                <w:szCs w:val="22"/>
              </w:rPr>
            </w:pPr>
            <w:r>
              <w:rPr>
                <w:rFonts w:hint="eastAsia" w:ascii="宋体" w:hAnsi="宋体" w:cs="宋体"/>
                <w:kern w:val="0"/>
                <w:sz w:val="22"/>
                <w:szCs w:val="22"/>
              </w:rPr>
              <w:t>100%</w:t>
            </w:r>
          </w:p>
        </w:tc>
      </w:tr>
      <w:tr w14:paraId="50D2131E">
        <w:tblPrEx>
          <w:tblCellMar>
            <w:top w:w="0" w:type="dxa"/>
            <w:left w:w="108" w:type="dxa"/>
            <w:bottom w:w="0" w:type="dxa"/>
            <w:right w:w="108" w:type="dxa"/>
          </w:tblCellMar>
        </w:tblPrEx>
        <w:trPr>
          <w:trHeight w:val="439" w:hRule="atLeast"/>
        </w:trPr>
        <w:tc>
          <w:tcPr>
            <w:tcW w:w="2180" w:type="dxa"/>
            <w:gridSpan w:val="3"/>
            <w:vMerge w:val="continue"/>
            <w:tcBorders>
              <w:top w:val="single" w:color="auto" w:sz="4" w:space="0"/>
              <w:left w:val="single" w:color="auto" w:sz="4" w:space="0"/>
              <w:bottom w:val="single" w:color="000000" w:sz="4" w:space="0"/>
              <w:right w:val="single" w:color="000000" w:sz="4" w:space="0"/>
            </w:tcBorders>
            <w:vAlign w:val="center"/>
          </w:tcPr>
          <w:p w14:paraId="5EDA3A7F">
            <w:pPr>
              <w:widowControl/>
              <w:jc w:val="left"/>
              <w:rPr>
                <w:rFonts w:ascii="宋体" w:hAnsi="宋体" w:cs="宋体"/>
                <w:kern w:val="0"/>
                <w:sz w:val="22"/>
                <w:szCs w:val="22"/>
              </w:rPr>
            </w:pPr>
          </w:p>
        </w:tc>
        <w:tc>
          <w:tcPr>
            <w:tcW w:w="2340" w:type="dxa"/>
            <w:tcBorders>
              <w:top w:val="nil"/>
              <w:left w:val="nil"/>
              <w:bottom w:val="single" w:color="auto" w:sz="4" w:space="0"/>
              <w:right w:val="single" w:color="auto" w:sz="4" w:space="0"/>
            </w:tcBorders>
            <w:shd w:val="clear" w:color="auto" w:fill="auto"/>
            <w:vAlign w:val="center"/>
          </w:tcPr>
          <w:p w14:paraId="18862DC0">
            <w:pPr>
              <w:widowControl/>
              <w:jc w:val="left"/>
              <w:rPr>
                <w:rFonts w:ascii="宋体" w:hAnsi="宋体" w:cs="宋体"/>
                <w:kern w:val="0"/>
                <w:sz w:val="22"/>
                <w:szCs w:val="22"/>
              </w:rPr>
            </w:pPr>
            <w:r>
              <w:rPr>
                <w:rFonts w:hint="eastAsia" w:ascii="宋体" w:hAnsi="宋体" w:cs="宋体"/>
                <w:kern w:val="0"/>
                <w:sz w:val="22"/>
                <w:szCs w:val="22"/>
              </w:rPr>
              <w:t xml:space="preserve"> 其中：上级财政资金</w:t>
            </w:r>
          </w:p>
        </w:tc>
        <w:tc>
          <w:tcPr>
            <w:tcW w:w="1360" w:type="dxa"/>
            <w:tcBorders>
              <w:top w:val="nil"/>
              <w:left w:val="nil"/>
              <w:bottom w:val="single" w:color="auto" w:sz="4" w:space="0"/>
              <w:right w:val="single" w:color="auto" w:sz="4" w:space="0"/>
            </w:tcBorders>
            <w:shd w:val="clear" w:color="auto" w:fill="auto"/>
            <w:vAlign w:val="center"/>
          </w:tcPr>
          <w:p w14:paraId="5F75281F">
            <w:pPr>
              <w:widowControl/>
              <w:jc w:val="center"/>
              <w:rPr>
                <w:rFonts w:ascii="宋体" w:hAnsi="宋体" w:cs="宋体"/>
                <w:kern w:val="0"/>
                <w:sz w:val="22"/>
                <w:szCs w:val="22"/>
              </w:rPr>
            </w:pPr>
            <w:r>
              <w:rPr>
                <w:rFonts w:hint="eastAsia" w:ascii="宋体" w:hAnsi="宋体" w:cs="宋体"/>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14:paraId="4356E686">
            <w:pPr>
              <w:widowControl/>
              <w:jc w:val="center"/>
              <w:rPr>
                <w:rFonts w:ascii="宋体" w:hAnsi="宋体" w:cs="宋体"/>
                <w:kern w:val="0"/>
                <w:sz w:val="22"/>
                <w:szCs w:val="22"/>
              </w:rPr>
            </w:pPr>
            <w:r>
              <w:rPr>
                <w:rFonts w:hint="eastAsia" w:ascii="宋体" w:hAnsi="宋体" w:cs="宋体"/>
                <w:kern w:val="0"/>
                <w:sz w:val="22"/>
                <w:szCs w:val="22"/>
              </w:rPr>
              <w:t>　</w:t>
            </w:r>
          </w:p>
        </w:tc>
        <w:tc>
          <w:tcPr>
            <w:tcW w:w="2420" w:type="dxa"/>
            <w:gridSpan w:val="2"/>
            <w:tcBorders>
              <w:top w:val="single" w:color="auto" w:sz="4" w:space="0"/>
              <w:left w:val="nil"/>
              <w:bottom w:val="single" w:color="auto" w:sz="4" w:space="0"/>
              <w:right w:val="single" w:color="000000" w:sz="4" w:space="0"/>
            </w:tcBorders>
            <w:shd w:val="clear" w:color="auto" w:fill="auto"/>
            <w:vAlign w:val="center"/>
          </w:tcPr>
          <w:p w14:paraId="6DF8E119">
            <w:pPr>
              <w:widowControl/>
              <w:jc w:val="center"/>
              <w:rPr>
                <w:rFonts w:ascii="宋体" w:hAnsi="宋体" w:cs="宋体"/>
                <w:kern w:val="0"/>
                <w:sz w:val="22"/>
                <w:szCs w:val="22"/>
              </w:rPr>
            </w:pPr>
            <w:r>
              <w:rPr>
                <w:rFonts w:hint="eastAsia" w:ascii="宋体" w:hAnsi="宋体" w:cs="宋体"/>
                <w:kern w:val="0"/>
                <w:sz w:val="22"/>
                <w:szCs w:val="22"/>
              </w:rPr>
              <w:t>　</w:t>
            </w:r>
          </w:p>
        </w:tc>
      </w:tr>
      <w:tr w14:paraId="6BF86212">
        <w:tblPrEx>
          <w:tblCellMar>
            <w:top w:w="0" w:type="dxa"/>
            <w:left w:w="108" w:type="dxa"/>
            <w:bottom w:w="0" w:type="dxa"/>
            <w:right w:w="108" w:type="dxa"/>
          </w:tblCellMar>
        </w:tblPrEx>
        <w:trPr>
          <w:trHeight w:val="615" w:hRule="atLeast"/>
        </w:trPr>
        <w:tc>
          <w:tcPr>
            <w:tcW w:w="2180" w:type="dxa"/>
            <w:gridSpan w:val="3"/>
            <w:vMerge w:val="continue"/>
            <w:tcBorders>
              <w:top w:val="single" w:color="auto" w:sz="4" w:space="0"/>
              <w:left w:val="single" w:color="auto" w:sz="4" w:space="0"/>
              <w:bottom w:val="single" w:color="000000" w:sz="4" w:space="0"/>
              <w:right w:val="single" w:color="000000" w:sz="4" w:space="0"/>
            </w:tcBorders>
            <w:vAlign w:val="center"/>
          </w:tcPr>
          <w:p w14:paraId="6CE4A003">
            <w:pPr>
              <w:widowControl/>
              <w:jc w:val="left"/>
              <w:rPr>
                <w:rFonts w:ascii="宋体" w:hAnsi="宋体" w:cs="宋体"/>
                <w:kern w:val="0"/>
                <w:sz w:val="22"/>
                <w:szCs w:val="22"/>
              </w:rPr>
            </w:pPr>
          </w:p>
        </w:tc>
        <w:tc>
          <w:tcPr>
            <w:tcW w:w="2340" w:type="dxa"/>
            <w:tcBorders>
              <w:top w:val="nil"/>
              <w:left w:val="nil"/>
              <w:bottom w:val="single" w:color="auto" w:sz="4" w:space="0"/>
              <w:right w:val="single" w:color="auto" w:sz="4" w:space="0"/>
            </w:tcBorders>
            <w:shd w:val="clear" w:color="auto" w:fill="auto"/>
            <w:vAlign w:val="center"/>
          </w:tcPr>
          <w:p w14:paraId="3C2F9A4E">
            <w:pPr>
              <w:widowControl/>
              <w:jc w:val="left"/>
              <w:rPr>
                <w:rFonts w:ascii="宋体" w:hAnsi="宋体" w:cs="宋体"/>
                <w:kern w:val="0"/>
                <w:sz w:val="22"/>
                <w:szCs w:val="22"/>
              </w:rPr>
            </w:pPr>
            <w:r>
              <w:rPr>
                <w:rFonts w:hint="eastAsia" w:ascii="宋体" w:hAnsi="宋体" w:cs="宋体"/>
                <w:kern w:val="0"/>
                <w:sz w:val="22"/>
                <w:szCs w:val="22"/>
              </w:rPr>
              <w:t xml:space="preserve">        本级财政资金</w:t>
            </w:r>
          </w:p>
        </w:tc>
        <w:tc>
          <w:tcPr>
            <w:tcW w:w="1360" w:type="dxa"/>
            <w:tcBorders>
              <w:top w:val="nil"/>
              <w:left w:val="nil"/>
              <w:bottom w:val="single" w:color="auto" w:sz="4" w:space="0"/>
              <w:right w:val="single" w:color="auto" w:sz="4" w:space="0"/>
            </w:tcBorders>
            <w:shd w:val="clear" w:color="auto" w:fill="auto"/>
            <w:vAlign w:val="center"/>
          </w:tcPr>
          <w:p w14:paraId="066DBAFB">
            <w:pPr>
              <w:widowControl/>
              <w:jc w:val="center"/>
              <w:rPr>
                <w:rFonts w:ascii="宋体" w:hAnsi="宋体" w:cs="宋体"/>
                <w:kern w:val="0"/>
                <w:sz w:val="22"/>
                <w:szCs w:val="22"/>
              </w:rPr>
            </w:pPr>
            <w:r>
              <w:rPr>
                <w:rFonts w:hint="eastAsia" w:ascii="宋体" w:hAnsi="宋体" w:cs="宋体"/>
                <w:kern w:val="0"/>
                <w:sz w:val="22"/>
                <w:szCs w:val="22"/>
              </w:rPr>
              <w:t>10</w:t>
            </w:r>
          </w:p>
        </w:tc>
        <w:tc>
          <w:tcPr>
            <w:tcW w:w="840" w:type="dxa"/>
            <w:tcBorders>
              <w:top w:val="nil"/>
              <w:left w:val="nil"/>
              <w:bottom w:val="single" w:color="auto" w:sz="4" w:space="0"/>
              <w:right w:val="single" w:color="auto" w:sz="4" w:space="0"/>
            </w:tcBorders>
            <w:shd w:val="clear" w:color="auto" w:fill="auto"/>
            <w:vAlign w:val="center"/>
          </w:tcPr>
          <w:p w14:paraId="2A4B54F9">
            <w:pPr>
              <w:widowControl/>
              <w:jc w:val="center"/>
              <w:rPr>
                <w:rFonts w:ascii="宋体" w:hAnsi="宋体" w:cs="宋体"/>
                <w:kern w:val="0"/>
                <w:sz w:val="22"/>
                <w:szCs w:val="22"/>
              </w:rPr>
            </w:pPr>
            <w:r>
              <w:rPr>
                <w:rFonts w:hint="eastAsia" w:ascii="宋体" w:hAnsi="宋体" w:cs="宋体"/>
                <w:kern w:val="0"/>
                <w:sz w:val="22"/>
                <w:szCs w:val="22"/>
              </w:rPr>
              <w:t>10</w:t>
            </w:r>
          </w:p>
        </w:tc>
        <w:tc>
          <w:tcPr>
            <w:tcW w:w="2420" w:type="dxa"/>
            <w:gridSpan w:val="2"/>
            <w:tcBorders>
              <w:top w:val="single" w:color="auto" w:sz="4" w:space="0"/>
              <w:left w:val="nil"/>
              <w:bottom w:val="single" w:color="auto" w:sz="4" w:space="0"/>
              <w:right w:val="single" w:color="000000" w:sz="4" w:space="0"/>
            </w:tcBorders>
            <w:shd w:val="clear" w:color="auto" w:fill="auto"/>
            <w:vAlign w:val="center"/>
          </w:tcPr>
          <w:p w14:paraId="44712C95">
            <w:pPr>
              <w:widowControl/>
              <w:jc w:val="center"/>
              <w:rPr>
                <w:rFonts w:ascii="宋体" w:hAnsi="宋体" w:cs="宋体"/>
                <w:kern w:val="0"/>
                <w:sz w:val="22"/>
                <w:szCs w:val="22"/>
              </w:rPr>
            </w:pPr>
            <w:r>
              <w:rPr>
                <w:rFonts w:hint="eastAsia" w:ascii="宋体" w:hAnsi="宋体" w:cs="宋体"/>
                <w:kern w:val="0"/>
                <w:sz w:val="22"/>
                <w:szCs w:val="22"/>
              </w:rPr>
              <w:t>100%</w:t>
            </w:r>
          </w:p>
        </w:tc>
      </w:tr>
      <w:tr w14:paraId="0264AC35">
        <w:tblPrEx>
          <w:tblCellMar>
            <w:top w:w="0" w:type="dxa"/>
            <w:left w:w="108" w:type="dxa"/>
            <w:bottom w:w="0" w:type="dxa"/>
            <w:right w:w="108" w:type="dxa"/>
          </w:tblCellMar>
        </w:tblPrEx>
        <w:trPr>
          <w:trHeight w:val="439" w:hRule="atLeast"/>
        </w:trPr>
        <w:tc>
          <w:tcPr>
            <w:tcW w:w="2180" w:type="dxa"/>
            <w:gridSpan w:val="3"/>
            <w:vMerge w:val="continue"/>
            <w:tcBorders>
              <w:top w:val="single" w:color="auto" w:sz="4" w:space="0"/>
              <w:left w:val="single" w:color="auto" w:sz="4" w:space="0"/>
              <w:bottom w:val="single" w:color="000000" w:sz="4" w:space="0"/>
              <w:right w:val="single" w:color="000000" w:sz="4" w:space="0"/>
            </w:tcBorders>
            <w:vAlign w:val="center"/>
          </w:tcPr>
          <w:p w14:paraId="6DF0DF94">
            <w:pPr>
              <w:widowControl/>
              <w:jc w:val="left"/>
              <w:rPr>
                <w:rFonts w:ascii="宋体" w:hAnsi="宋体" w:cs="宋体"/>
                <w:kern w:val="0"/>
                <w:sz w:val="22"/>
                <w:szCs w:val="22"/>
              </w:rPr>
            </w:pPr>
          </w:p>
        </w:tc>
        <w:tc>
          <w:tcPr>
            <w:tcW w:w="2340" w:type="dxa"/>
            <w:tcBorders>
              <w:top w:val="nil"/>
              <w:left w:val="nil"/>
              <w:bottom w:val="single" w:color="auto" w:sz="4" w:space="0"/>
              <w:right w:val="single" w:color="auto" w:sz="4" w:space="0"/>
            </w:tcBorders>
            <w:shd w:val="clear" w:color="auto" w:fill="auto"/>
            <w:vAlign w:val="center"/>
          </w:tcPr>
          <w:p w14:paraId="32F84EF2">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c>
          <w:tcPr>
            <w:tcW w:w="1360" w:type="dxa"/>
            <w:tcBorders>
              <w:top w:val="nil"/>
              <w:left w:val="nil"/>
              <w:bottom w:val="single" w:color="auto" w:sz="4" w:space="0"/>
              <w:right w:val="single" w:color="auto" w:sz="4" w:space="0"/>
            </w:tcBorders>
            <w:shd w:val="clear" w:color="auto" w:fill="auto"/>
            <w:vAlign w:val="center"/>
          </w:tcPr>
          <w:p w14:paraId="6C71A832">
            <w:pPr>
              <w:widowControl/>
              <w:jc w:val="left"/>
              <w:rPr>
                <w:rFonts w:ascii="宋体" w:hAnsi="宋体" w:cs="宋体"/>
                <w:kern w:val="0"/>
                <w:sz w:val="22"/>
                <w:szCs w:val="22"/>
              </w:rPr>
            </w:pPr>
            <w:r>
              <w:rPr>
                <w:rFonts w:hint="eastAsia" w:ascii="宋体" w:hAnsi="宋体" w:cs="宋体"/>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14:paraId="6AC1C3B4">
            <w:pPr>
              <w:widowControl/>
              <w:jc w:val="left"/>
              <w:rPr>
                <w:rFonts w:ascii="宋体" w:hAnsi="宋体" w:cs="宋体"/>
                <w:kern w:val="0"/>
                <w:sz w:val="22"/>
                <w:szCs w:val="22"/>
              </w:rPr>
            </w:pPr>
            <w:r>
              <w:rPr>
                <w:rFonts w:hint="eastAsia" w:ascii="宋体" w:hAnsi="宋体" w:cs="宋体"/>
                <w:kern w:val="0"/>
                <w:sz w:val="22"/>
                <w:szCs w:val="22"/>
              </w:rPr>
              <w:t>　</w:t>
            </w:r>
          </w:p>
        </w:tc>
        <w:tc>
          <w:tcPr>
            <w:tcW w:w="2420" w:type="dxa"/>
            <w:gridSpan w:val="2"/>
            <w:tcBorders>
              <w:top w:val="single" w:color="auto" w:sz="4" w:space="0"/>
              <w:left w:val="nil"/>
              <w:bottom w:val="single" w:color="auto" w:sz="4" w:space="0"/>
              <w:right w:val="single" w:color="000000" w:sz="4" w:space="0"/>
            </w:tcBorders>
            <w:shd w:val="clear" w:color="auto" w:fill="auto"/>
            <w:vAlign w:val="center"/>
          </w:tcPr>
          <w:p w14:paraId="1C10C24D">
            <w:pPr>
              <w:widowControl/>
              <w:jc w:val="center"/>
              <w:rPr>
                <w:rFonts w:ascii="宋体" w:hAnsi="宋体" w:cs="宋体"/>
                <w:kern w:val="0"/>
                <w:sz w:val="22"/>
                <w:szCs w:val="22"/>
              </w:rPr>
            </w:pPr>
            <w:r>
              <w:rPr>
                <w:rFonts w:hint="eastAsia" w:ascii="宋体" w:hAnsi="宋体" w:cs="宋体"/>
                <w:kern w:val="0"/>
                <w:sz w:val="22"/>
                <w:szCs w:val="22"/>
              </w:rPr>
              <w:t>　</w:t>
            </w:r>
          </w:p>
        </w:tc>
      </w:tr>
      <w:tr w14:paraId="1C544DA9">
        <w:tblPrEx>
          <w:tblCellMar>
            <w:top w:w="0" w:type="dxa"/>
            <w:left w:w="108" w:type="dxa"/>
            <w:bottom w:w="0" w:type="dxa"/>
            <w:right w:w="108" w:type="dxa"/>
          </w:tblCellMar>
        </w:tblPrEx>
        <w:trPr>
          <w:trHeight w:val="439"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77BE0C28">
            <w:pPr>
              <w:widowControl/>
              <w:jc w:val="center"/>
              <w:rPr>
                <w:rFonts w:ascii="宋体" w:hAnsi="宋体" w:cs="宋体"/>
                <w:kern w:val="0"/>
                <w:sz w:val="22"/>
                <w:szCs w:val="22"/>
              </w:rPr>
            </w:pPr>
            <w:r>
              <w:rPr>
                <w:rFonts w:hint="eastAsia" w:ascii="宋体" w:hAnsi="宋体" w:cs="宋体"/>
                <w:kern w:val="0"/>
                <w:sz w:val="22"/>
                <w:szCs w:val="22"/>
              </w:rPr>
              <w:t>总</w:t>
            </w:r>
            <w:r>
              <w:rPr>
                <w:rFonts w:hint="eastAsia" w:ascii="宋体" w:hAnsi="宋体" w:cs="宋体"/>
                <w:kern w:val="0"/>
                <w:sz w:val="22"/>
                <w:szCs w:val="22"/>
              </w:rPr>
              <w:br w:type="textWrapping"/>
            </w:r>
            <w:r>
              <w:rPr>
                <w:rFonts w:hint="eastAsia" w:ascii="宋体" w:hAnsi="宋体" w:cs="宋体"/>
                <w:kern w:val="0"/>
                <w:sz w:val="22"/>
                <w:szCs w:val="22"/>
              </w:rPr>
              <w:t>体</w:t>
            </w:r>
            <w:r>
              <w:rPr>
                <w:rFonts w:hint="eastAsia" w:ascii="宋体" w:hAnsi="宋体" w:cs="宋体"/>
                <w:kern w:val="0"/>
                <w:sz w:val="22"/>
                <w:szCs w:val="22"/>
              </w:rPr>
              <w:br w:type="textWrapping"/>
            </w:r>
            <w:r>
              <w:rPr>
                <w:rFonts w:hint="eastAsia" w:ascii="宋体" w:hAnsi="宋体" w:cs="宋体"/>
                <w:kern w:val="0"/>
                <w:sz w:val="22"/>
                <w:szCs w:val="22"/>
              </w:rPr>
              <w:t>目</w:t>
            </w:r>
            <w:r>
              <w:rPr>
                <w:rFonts w:hint="eastAsia" w:ascii="宋体" w:hAnsi="宋体" w:cs="宋体"/>
                <w:kern w:val="0"/>
                <w:sz w:val="22"/>
                <w:szCs w:val="22"/>
              </w:rPr>
              <w:br w:type="textWrapping"/>
            </w:r>
            <w:r>
              <w:rPr>
                <w:rFonts w:hint="eastAsia" w:ascii="宋体" w:hAnsi="宋体" w:cs="宋体"/>
                <w:kern w:val="0"/>
                <w:sz w:val="22"/>
                <w:szCs w:val="22"/>
              </w:rPr>
              <w:t>标</w:t>
            </w:r>
          </w:p>
        </w:tc>
        <w:tc>
          <w:tcPr>
            <w:tcW w:w="3780" w:type="dxa"/>
            <w:gridSpan w:val="3"/>
            <w:tcBorders>
              <w:top w:val="single" w:color="auto" w:sz="4" w:space="0"/>
              <w:left w:val="nil"/>
              <w:bottom w:val="single" w:color="auto" w:sz="4" w:space="0"/>
              <w:right w:val="single" w:color="000000" w:sz="4" w:space="0"/>
            </w:tcBorders>
            <w:shd w:val="clear" w:color="auto" w:fill="auto"/>
            <w:vAlign w:val="center"/>
          </w:tcPr>
          <w:p w14:paraId="4FD0B346">
            <w:pPr>
              <w:widowControl/>
              <w:jc w:val="center"/>
              <w:rPr>
                <w:rFonts w:ascii="宋体" w:hAnsi="宋体" w:cs="宋体"/>
                <w:kern w:val="0"/>
                <w:sz w:val="22"/>
                <w:szCs w:val="22"/>
              </w:rPr>
            </w:pPr>
            <w:r>
              <w:rPr>
                <w:rFonts w:hint="eastAsia" w:ascii="宋体" w:hAnsi="宋体" w:cs="宋体"/>
                <w:kern w:val="0"/>
                <w:sz w:val="22"/>
                <w:szCs w:val="22"/>
              </w:rPr>
              <w:t>年度设定目标</w:t>
            </w:r>
          </w:p>
        </w:tc>
        <w:tc>
          <w:tcPr>
            <w:tcW w:w="4620" w:type="dxa"/>
            <w:gridSpan w:val="4"/>
            <w:tcBorders>
              <w:top w:val="single" w:color="auto" w:sz="4" w:space="0"/>
              <w:left w:val="nil"/>
              <w:bottom w:val="single" w:color="auto" w:sz="4" w:space="0"/>
              <w:right w:val="single" w:color="000000" w:sz="4" w:space="0"/>
            </w:tcBorders>
            <w:shd w:val="clear" w:color="auto" w:fill="auto"/>
            <w:vAlign w:val="center"/>
          </w:tcPr>
          <w:p w14:paraId="15231DE7">
            <w:pPr>
              <w:widowControl/>
              <w:jc w:val="center"/>
              <w:rPr>
                <w:rFonts w:ascii="宋体" w:hAnsi="宋体" w:cs="宋体"/>
                <w:kern w:val="0"/>
                <w:sz w:val="22"/>
                <w:szCs w:val="22"/>
              </w:rPr>
            </w:pPr>
            <w:r>
              <w:rPr>
                <w:rFonts w:hint="eastAsia" w:ascii="宋体" w:hAnsi="宋体" w:cs="宋体"/>
                <w:kern w:val="0"/>
                <w:sz w:val="22"/>
                <w:szCs w:val="22"/>
              </w:rPr>
              <w:t>实际完成情况</w:t>
            </w:r>
          </w:p>
        </w:tc>
      </w:tr>
      <w:tr w14:paraId="4D4F091F">
        <w:tblPrEx>
          <w:tblCellMar>
            <w:top w:w="0" w:type="dxa"/>
            <w:left w:w="108" w:type="dxa"/>
            <w:bottom w:w="0" w:type="dxa"/>
            <w:right w:w="108" w:type="dxa"/>
          </w:tblCellMar>
        </w:tblPrEx>
        <w:trPr>
          <w:trHeight w:val="1590" w:hRule="atLeast"/>
        </w:trPr>
        <w:tc>
          <w:tcPr>
            <w:tcW w:w="740" w:type="dxa"/>
            <w:vMerge w:val="continue"/>
            <w:tcBorders>
              <w:top w:val="nil"/>
              <w:left w:val="single" w:color="auto" w:sz="4" w:space="0"/>
              <w:bottom w:val="single" w:color="000000" w:sz="4" w:space="0"/>
              <w:right w:val="single" w:color="auto" w:sz="4" w:space="0"/>
            </w:tcBorders>
            <w:vAlign w:val="center"/>
          </w:tcPr>
          <w:p w14:paraId="5D31BCA6">
            <w:pPr>
              <w:widowControl/>
              <w:jc w:val="left"/>
              <w:rPr>
                <w:rFonts w:ascii="宋体" w:hAnsi="宋体" w:cs="宋体"/>
                <w:kern w:val="0"/>
                <w:sz w:val="22"/>
                <w:szCs w:val="22"/>
              </w:rPr>
            </w:pPr>
          </w:p>
        </w:tc>
        <w:tc>
          <w:tcPr>
            <w:tcW w:w="3780" w:type="dxa"/>
            <w:gridSpan w:val="3"/>
            <w:tcBorders>
              <w:top w:val="single" w:color="auto" w:sz="4" w:space="0"/>
              <w:left w:val="nil"/>
              <w:bottom w:val="single" w:color="auto" w:sz="4" w:space="0"/>
              <w:right w:val="single" w:color="000000" w:sz="4" w:space="0"/>
            </w:tcBorders>
            <w:shd w:val="clear" w:color="auto" w:fill="auto"/>
            <w:vAlign w:val="center"/>
          </w:tcPr>
          <w:p w14:paraId="2418E184">
            <w:pPr>
              <w:widowControl/>
              <w:jc w:val="left"/>
              <w:rPr>
                <w:rFonts w:ascii="宋体" w:hAnsi="宋体" w:cs="宋体"/>
                <w:kern w:val="0"/>
                <w:sz w:val="22"/>
                <w:szCs w:val="22"/>
              </w:rPr>
            </w:pPr>
            <w:r>
              <w:rPr>
                <w:rFonts w:hint="eastAsia" w:ascii="宋体" w:hAnsi="宋体" w:cs="宋体"/>
                <w:kern w:val="0"/>
                <w:sz w:val="22"/>
                <w:szCs w:val="22"/>
              </w:rPr>
              <w:t xml:space="preserve">    调动争取资金的积极性，促进全市经济社会又好又快发展。</w:t>
            </w:r>
          </w:p>
        </w:tc>
        <w:tc>
          <w:tcPr>
            <w:tcW w:w="4620" w:type="dxa"/>
            <w:gridSpan w:val="4"/>
            <w:tcBorders>
              <w:top w:val="single" w:color="auto" w:sz="4" w:space="0"/>
              <w:left w:val="nil"/>
              <w:bottom w:val="single" w:color="auto" w:sz="4" w:space="0"/>
              <w:right w:val="single" w:color="000000" w:sz="4" w:space="0"/>
            </w:tcBorders>
            <w:shd w:val="clear" w:color="auto" w:fill="auto"/>
            <w:vAlign w:val="center"/>
          </w:tcPr>
          <w:p w14:paraId="23E03F99">
            <w:pPr>
              <w:widowControl/>
              <w:jc w:val="left"/>
              <w:rPr>
                <w:rFonts w:ascii="宋体" w:hAnsi="宋体" w:cs="宋体"/>
                <w:kern w:val="0"/>
                <w:sz w:val="22"/>
                <w:szCs w:val="22"/>
              </w:rPr>
            </w:pPr>
            <w:r>
              <w:rPr>
                <w:rFonts w:hint="eastAsia" w:ascii="宋体" w:hAnsi="宋体" w:cs="宋体"/>
                <w:kern w:val="0"/>
                <w:sz w:val="22"/>
                <w:szCs w:val="22"/>
              </w:rPr>
              <w:t xml:space="preserve">    我单位积极向上争取资金，促进全市工业经济发展，完成了全年目标。</w:t>
            </w:r>
          </w:p>
        </w:tc>
      </w:tr>
      <w:tr w14:paraId="6BF68EA3">
        <w:tblPrEx>
          <w:tblCellMar>
            <w:top w:w="0" w:type="dxa"/>
            <w:left w:w="108" w:type="dxa"/>
            <w:bottom w:w="0" w:type="dxa"/>
            <w:right w:w="108" w:type="dxa"/>
          </w:tblCellMar>
        </w:tblPrEx>
        <w:trPr>
          <w:trHeight w:val="675"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1CE838FB">
            <w:pPr>
              <w:widowControl/>
              <w:jc w:val="center"/>
              <w:rPr>
                <w:rFonts w:ascii="宋体" w:hAnsi="宋体" w:cs="宋体"/>
                <w:kern w:val="0"/>
                <w:sz w:val="22"/>
                <w:szCs w:val="22"/>
              </w:rPr>
            </w:pPr>
            <w:r>
              <w:rPr>
                <w:rFonts w:hint="eastAsia" w:ascii="宋体" w:hAnsi="宋体" w:cs="宋体"/>
                <w:kern w:val="0"/>
                <w:sz w:val="22"/>
                <w:szCs w:val="22"/>
              </w:rPr>
              <w:t>绩</w:t>
            </w:r>
            <w:r>
              <w:rPr>
                <w:rFonts w:hint="eastAsia" w:ascii="宋体" w:hAnsi="宋体" w:cs="宋体"/>
                <w:kern w:val="0"/>
                <w:sz w:val="22"/>
                <w:szCs w:val="22"/>
              </w:rPr>
              <w:br w:type="textWrapping"/>
            </w:r>
            <w:r>
              <w:rPr>
                <w:rFonts w:hint="eastAsia" w:ascii="宋体" w:hAnsi="宋体" w:cs="宋体"/>
                <w:kern w:val="0"/>
                <w:sz w:val="22"/>
                <w:szCs w:val="22"/>
              </w:rPr>
              <w:t>效</w:t>
            </w:r>
            <w:r>
              <w:rPr>
                <w:rFonts w:hint="eastAsia" w:ascii="宋体" w:hAnsi="宋体" w:cs="宋体"/>
                <w:kern w:val="0"/>
                <w:sz w:val="22"/>
                <w:szCs w:val="22"/>
              </w:rPr>
              <w:br w:type="textWrapping"/>
            </w:r>
            <w:r>
              <w:rPr>
                <w:rFonts w:hint="eastAsia" w:ascii="宋体" w:hAnsi="宋体" w:cs="宋体"/>
                <w:kern w:val="0"/>
                <w:sz w:val="22"/>
                <w:szCs w:val="22"/>
              </w:rPr>
              <w:t>指</w:t>
            </w:r>
            <w:r>
              <w:rPr>
                <w:rFonts w:hint="eastAsia" w:ascii="宋体" w:hAnsi="宋体" w:cs="宋体"/>
                <w:kern w:val="0"/>
                <w:sz w:val="22"/>
                <w:szCs w:val="22"/>
              </w:rPr>
              <w:br w:type="textWrapping"/>
            </w:r>
            <w:r>
              <w:rPr>
                <w:rFonts w:hint="eastAsia" w:ascii="宋体" w:hAnsi="宋体" w:cs="宋体"/>
                <w:kern w:val="0"/>
                <w:sz w:val="22"/>
                <w:szCs w:val="22"/>
              </w:rPr>
              <w:t>标</w:t>
            </w:r>
          </w:p>
        </w:tc>
        <w:tc>
          <w:tcPr>
            <w:tcW w:w="740" w:type="dxa"/>
            <w:tcBorders>
              <w:top w:val="nil"/>
              <w:left w:val="nil"/>
              <w:bottom w:val="single" w:color="auto" w:sz="4" w:space="0"/>
              <w:right w:val="single" w:color="auto" w:sz="4" w:space="0"/>
            </w:tcBorders>
            <w:shd w:val="clear" w:color="auto" w:fill="auto"/>
            <w:vAlign w:val="center"/>
          </w:tcPr>
          <w:p w14:paraId="56915CC4">
            <w:pPr>
              <w:widowControl/>
              <w:jc w:val="center"/>
              <w:rPr>
                <w:rFonts w:ascii="宋体" w:hAnsi="宋体" w:cs="宋体"/>
                <w:kern w:val="0"/>
                <w:sz w:val="22"/>
                <w:szCs w:val="22"/>
              </w:rPr>
            </w:pPr>
            <w:r>
              <w:rPr>
                <w:rFonts w:hint="eastAsia" w:ascii="宋体" w:hAnsi="宋体" w:cs="宋体"/>
                <w:kern w:val="0"/>
                <w:sz w:val="22"/>
                <w:szCs w:val="22"/>
              </w:rPr>
              <w:t>一级</w:t>
            </w:r>
            <w:r>
              <w:rPr>
                <w:rFonts w:hint="eastAsia" w:ascii="宋体" w:hAnsi="宋体" w:cs="宋体"/>
                <w:kern w:val="0"/>
                <w:sz w:val="22"/>
                <w:szCs w:val="22"/>
              </w:rPr>
              <w:br w:type="textWrapping"/>
            </w:r>
            <w:r>
              <w:rPr>
                <w:rFonts w:hint="eastAsia" w:ascii="宋体" w:hAnsi="宋体" w:cs="宋体"/>
                <w:kern w:val="0"/>
                <w:sz w:val="22"/>
                <w:szCs w:val="22"/>
              </w:rPr>
              <w:t>指标</w:t>
            </w:r>
          </w:p>
        </w:tc>
        <w:tc>
          <w:tcPr>
            <w:tcW w:w="700" w:type="dxa"/>
            <w:tcBorders>
              <w:top w:val="nil"/>
              <w:left w:val="nil"/>
              <w:bottom w:val="single" w:color="auto" w:sz="4" w:space="0"/>
              <w:right w:val="single" w:color="auto" w:sz="4" w:space="0"/>
            </w:tcBorders>
            <w:shd w:val="clear" w:color="auto" w:fill="auto"/>
            <w:vAlign w:val="center"/>
          </w:tcPr>
          <w:p w14:paraId="41A6251D">
            <w:pPr>
              <w:widowControl/>
              <w:jc w:val="center"/>
              <w:rPr>
                <w:rFonts w:ascii="宋体" w:hAnsi="宋体" w:cs="宋体"/>
                <w:kern w:val="0"/>
                <w:sz w:val="22"/>
                <w:szCs w:val="22"/>
              </w:rPr>
            </w:pPr>
            <w:r>
              <w:rPr>
                <w:rFonts w:hint="eastAsia" w:ascii="宋体" w:hAnsi="宋体" w:cs="宋体"/>
                <w:kern w:val="0"/>
                <w:sz w:val="22"/>
                <w:szCs w:val="22"/>
              </w:rPr>
              <w:t>二级指标</w:t>
            </w:r>
          </w:p>
        </w:tc>
        <w:tc>
          <w:tcPr>
            <w:tcW w:w="2340" w:type="dxa"/>
            <w:tcBorders>
              <w:top w:val="nil"/>
              <w:left w:val="nil"/>
              <w:bottom w:val="single" w:color="auto" w:sz="4" w:space="0"/>
              <w:right w:val="single" w:color="auto" w:sz="4" w:space="0"/>
            </w:tcBorders>
            <w:shd w:val="clear" w:color="auto" w:fill="auto"/>
            <w:vAlign w:val="center"/>
          </w:tcPr>
          <w:p w14:paraId="41EE4C2D">
            <w:pPr>
              <w:widowControl/>
              <w:jc w:val="center"/>
              <w:rPr>
                <w:rFonts w:ascii="宋体" w:hAnsi="宋体" w:cs="宋体"/>
                <w:kern w:val="0"/>
                <w:sz w:val="22"/>
                <w:szCs w:val="22"/>
              </w:rPr>
            </w:pPr>
            <w:r>
              <w:rPr>
                <w:rFonts w:hint="eastAsia" w:ascii="宋体" w:hAnsi="宋体" w:cs="宋体"/>
                <w:kern w:val="0"/>
                <w:sz w:val="22"/>
                <w:szCs w:val="22"/>
              </w:rPr>
              <w:t>三级指标</w:t>
            </w:r>
          </w:p>
        </w:tc>
        <w:tc>
          <w:tcPr>
            <w:tcW w:w="1360" w:type="dxa"/>
            <w:tcBorders>
              <w:top w:val="nil"/>
              <w:left w:val="nil"/>
              <w:bottom w:val="single" w:color="auto" w:sz="4" w:space="0"/>
              <w:right w:val="single" w:color="auto" w:sz="4" w:space="0"/>
            </w:tcBorders>
            <w:shd w:val="clear" w:color="auto" w:fill="auto"/>
            <w:vAlign w:val="center"/>
          </w:tcPr>
          <w:p w14:paraId="603CC278">
            <w:pPr>
              <w:widowControl/>
              <w:jc w:val="center"/>
              <w:rPr>
                <w:rFonts w:ascii="宋体" w:hAnsi="宋体" w:cs="宋体"/>
                <w:kern w:val="0"/>
                <w:sz w:val="22"/>
                <w:szCs w:val="22"/>
              </w:rPr>
            </w:pPr>
            <w:r>
              <w:rPr>
                <w:rFonts w:hint="eastAsia" w:ascii="宋体" w:hAnsi="宋体" w:cs="宋体"/>
                <w:kern w:val="0"/>
                <w:sz w:val="22"/>
                <w:szCs w:val="22"/>
              </w:rPr>
              <w:t>年度指标值</w:t>
            </w:r>
          </w:p>
        </w:tc>
        <w:tc>
          <w:tcPr>
            <w:tcW w:w="840" w:type="dxa"/>
            <w:tcBorders>
              <w:top w:val="nil"/>
              <w:left w:val="nil"/>
              <w:bottom w:val="single" w:color="auto" w:sz="4" w:space="0"/>
              <w:right w:val="single" w:color="auto" w:sz="4" w:space="0"/>
            </w:tcBorders>
            <w:shd w:val="clear" w:color="auto" w:fill="auto"/>
            <w:vAlign w:val="center"/>
          </w:tcPr>
          <w:p w14:paraId="3B3CC69D">
            <w:pPr>
              <w:widowControl/>
              <w:jc w:val="center"/>
              <w:rPr>
                <w:rFonts w:ascii="宋体" w:hAnsi="宋体" w:cs="宋体"/>
                <w:kern w:val="0"/>
                <w:sz w:val="22"/>
                <w:szCs w:val="22"/>
              </w:rPr>
            </w:pPr>
            <w:r>
              <w:rPr>
                <w:rFonts w:hint="eastAsia" w:ascii="宋体" w:hAnsi="宋体" w:cs="宋体"/>
                <w:kern w:val="0"/>
                <w:sz w:val="22"/>
                <w:szCs w:val="22"/>
              </w:rPr>
              <w:t>实际完成数</w:t>
            </w:r>
          </w:p>
        </w:tc>
        <w:tc>
          <w:tcPr>
            <w:tcW w:w="1300" w:type="dxa"/>
            <w:tcBorders>
              <w:top w:val="nil"/>
              <w:left w:val="nil"/>
              <w:bottom w:val="single" w:color="auto" w:sz="4" w:space="0"/>
              <w:right w:val="single" w:color="auto" w:sz="4" w:space="0"/>
            </w:tcBorders>
            <w:shd w:val="clear" w:color="auto" w:fill="auto"/>
            <w:vAlign w:val="center"/>
          </w:tcPr>
          <w:p w14:paraId="67869D1C">
            <w:pPr>
              <w:widowControl/>
              <w:jc w:val="center"/>
              <w:rPr>
                <w:rFonts w:ascii="宋体" w:hAnsi="宋体" w:cs="宋体"/>
                <w:kern w:val="0"/>
                <w:sz w:val="22"/>
                <w:szCs w:val="22"/>
              </w:rPr>
            </w:pPr>
            <w:r>
              <w:rPr>
                <w:rFonts w:hint="eastAsia" w:ascii="宋体" w:hAnsi="宋体" w:cs="宋体"/>
                <w:kern w:val="0"/>
                <w:sz w:val="22"/>
                <w:szCs w:val="22"/>
              </w:rPr>
              <w:t>完成率（%）</w:t>
            </w:r>
          </w:p>
        </w:tc>
        <w:tc>
          <w:tcPr>
            <w:tcW w:w="1120" w:type="dxa"/>
            <w:tcBorders>
              <w:top w:val="nil"/>
              <w:left w:val="nil"/>
              <w:bottom w:val="single" w:color="auto" w:sz="4" w:space="0"/>
              <w:right w:val="single" w:color="auto" w:sz="4" w:space="0"/>
            </w:tcBorders>
            <w:shd w:val="clear" w:color="auto" w:fill="auto"/>
            <w:vAlign w:val="center"/>
          </w:tcPr>
          <w:p w14:paraId="60774B4A">
            <w:pPr>
              <w:widowControl/>
              <w:jc w:val="left"/>
              <w:rPr>
                <w:rFonts w:ascii="宋体" w:hAnsi="宋体" w:cs="宋体"/>
                <w:kern w:val="0"/>
                <w:sz w:val="22"/>
                <w:szCs w:val="22"/>
              </w:rPr>
            </w:pPr>
            <w:r>
              <w:rPr>
                <w:rFonts w:hint="eastAsia" w:ascii="宋体" w:hAnsi="宋体" w:cs="宋体"/>
                <w:kern w:val="0"/>
                <w:sz w:val="22"/>
                <w:szCs w:val="22"/>
              </w:rPr>
              <w:t>未完成原因和改进措施</w:t>
            </w:r>
          </w:p>
        </w:tc>
      </w:tr>
      <w:tr w14:paraId="72E8D9E3">
        <w:tblPrEx>
          <w:tblCellMar>
            <w:top w:w="0" w:type="dxa"/>
            <w:left w:w="108" w:type="dxa"/>
            <w:bottom w:w="0" w:type="dxa"/>
            <w:right w:w="108" w:type="dxa"/>
          </w:tblCellMar>
        </w:tblPrEx>
        <w:trPr>
          <w:trHeight w:val="990" w:hRule="atLeast"/>
        </w:trPr>
        <w:tc>
          <w:tcPr>
            <w:tcW w:w="740" w:type="dxa"/>
            <w:vMerge w:val="continue"/>
            <w:tcBorders>
              <w:top w:val="nil"/>
              <w:left w:val="single" w:color="auto" w:sz="4" w:space="0"/>
              <w:bottom w:val="single" w:color="000000" w:sz="4" w:space="0"/>
              <w:right w:val="single" w:color="auto" w:sz="4" w:space="0"/>
            </w:tcBorders>
            <w:vAlign w:val="center"/>
          </w:tcPr>
          <w:p w14:paraId="255CA86B">
            <w:pPr>
              <w:widowControl/>
              <w:jc w:val="left"/>
              <w:rPr>
                <w:rFonts w:ascii="宋体" w:hAnsi="宋体" w:cs="宋体"/>
                <w:kern w:val="0"/>
                <w:sz w:val="22"/>
                <w:szCs w:val="22"/>
              </w:rPr>
            </w:pPr>
          </w:p>
        </w:tc>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41744C4B">
            <w:pPr>
              <w:widowControl/>
              <w:jc w:val="center"/>
              <w:rPr>
                <w:rFonts w:ascii="宋体" w:hAnsi="宋体" w:cs="宋体"/>
                <w:kern w:val="0"/>
                <w:sz w:val="22"/>
                <w:szCs w:val="22"/>
              </w:rPr>
            </w:pPr>
            <w:r>
              <w:rPr>
                <w:rFonts w:hint="eastAsia" w:ascii="宋体" w:hAnsi="宋体" w:cs="宋体"/>
                <w:kern w:val="0"/>
                <w:sz w:val="22"/>
                <w:szCs w:val="22"/>
              </w:rPr>
              <w:t>项目完成</w:t>
            </w:r>
          </w:p>
        </w:tc>
        <w:tc>
          <w:tcPr>
            <w:tcW w:w="700" w:type="dxa"/>
            <w:tcBorders>
              <w:top w:val="nil"/>
              <w:left w:val="nil"/>
              <w:bottom w:val="single" w:color="auto" w:sz="4" w:space="0"/>
              <w:right w:val="single" w:color="auto" w:sz="4" w:space="0"/>
            </w:tcBorders>
            <w:shd w:val="clear" w:color="auto" w:fill="auto"/>
            <w:vAlign w:val="center"/>
          </w:tcPr>
          <w:p w14:paraId="3D885B33">
            <w:pPr>
              <w:widowControl/>
              <w:jc w:val="center"/>
              <w:rPr>
                <w:rFonts w:ascii="宋体" w:hAnsi="宋体" w:cs="宋体"/>
                <w:kern w:val="0"/>
                <w:sz w:val="22"/>
                <w:szCs w:val="22"/>
              </w:rPr>
            </w:pPr>
            <w:r>
              <w:rPr>
                <w:rFonts w:hint="eastAsia" w:ascii="宋体" w:hAnsi="宋体" w:cs="宋体"/>
                <w:kern w:val="0"/>
                <w:sz w:val="22"/>
                <w:szCs w:val="22"/>
              </w:rPr>
              <w:t>数量指标</w:t>
            </w:r>
          </w:p>
        </w:tc>
        <w:tc>
          <w:tcPr>
            <w:tcW w:w="2340" w:type="dxa"/>
            <w:tcBorders>
              <w:top w:val="nil"/>
              <w:left w:val="nil"/>
              <w:bottom w:val="single" w:color="auto" w:sz="4" w:space="0"/>
              <w:right w:val="single" w:color="auto" w:sz="4" w:space="0"/>
            </w:tcBorders>
            <w:shd w:val="clear" w:color="auto" w:fill="auto"/>
            <w:vAlign w:val="center"/>
          </w:tcPr>
          <w:p w14:paraId="518C53E7">
            <w:pPr>
              <w:widowControl/>
              <w:jc w:val="left"/>
              <w:rPr>
                <w:rFonts w:ascii="宋体" w:hAnsi="宋体" w:cs="宋体"/>
                <w:kern w:val="0"/>
                <w:sz w:val="22"/>
                <w:szCs w:val="22"/>
              </w:rPr>
            </w:pPr>
            <w:r>
              <w:rPr>
                <w:rFonts w:hint="eastAsia" w:ascii="宋体" w:hAnsi="宋体" w:cs="宋体"/>
                <w:kern w:val="0"/>
                <w:sz w:val="22"/>
                <w:szCs w:val="22"/>
              </w:rPr>
              <w:t>积极争取两大类发展资金：工业发展资金、中小企业发展资金</w:t>
            </w:r>
          </w:p>
        </w:tc>
        <w:tc>
          <w:tcPr>
            <w:tcW w:w="1360" w:type="dxa"/>
            <w:tcBorders>
              <w:top w:val="nil"/>
              <w:left w:val="nil"/>
              <w:bottom w:val="single" w:color="auto" w:sz="4" w:space="0"/>
              <w:right w:val="single" w:color="auto" w:sz="4" w:space="0"/>
            </w:tcBorders>
            <w:shd w:val="clear" w:color="auto" w:fill="auto"/>
            <w:vAlign w:val="center"/>
          </w:tcPr>
          <w:p w14:paraId="498E047F">
            <w:pPr>
              <w:widowControl/>
              <w:jc w:val="left"/>
              <w:rPr>
                <w:rFonts w:ascii="宋体" w:hAnsi="宋体" w:cs="宋体"/>
                <w:kern w:val="0"/>
                <w:sz w:val="22"/>
                <w:szCs w:val="22"/>
              </w:rPr>
            </w:pPr>
            <w:r>
              <w:rPr>
                <w:rFonts w:hint="eastAsia" w:ascii="宋体" w:hAnsi="宋体" w:cs="宋体"/>
                <w:kern w:val="0"/>
                <w:sz w:val="22"/>
                <w:szCs w:val="22"/>
              </w:rPr>
              <w:t>2个</w:t>
            </w:r>
          </w:p>
        </w:tc>
        <w:tc>
          <w:tcPr>
            <w:tcW w:w="840" w:type="dxa"/>
            <w:tcBorders>
              <w:top w:val="nil"/>
              <w:left w:val="nil"/>
              <w:bottom w:val="single" w:color="auto" w:sz="4" w:space="0"/>
              <w:right w:val="single" w:color="auto" w:sz="4" w:space="0"/>
            </w:tcBorders>
            <w:shd w:val="clear" w:color="auto" w:fill="auto"/>
            <w:vAlign w:val="center"/>
          </w:tcPr>
          <w:p w14:paraId="2B01ED98">
            <w:pPr>
              <w:widowControl/>
              <w:jc w:val="left"/>
              <w:rPr>
                <w:rFonts w:ascii="宋体" w:hAnsi="宋体" w:cs="宋体"/>
                <w:kern w:val="0"/>
                <w:sz w:val="22"/>
                <w:szCs w:val="22"/>
              </w:rPr>
            </w:pPr>
            <w:r>
              <w:rPr>
                <w:rFonts w:hint="eastAsia" w:ascii="宋体" w:hAnsi="宋体" w:cs="宋体"/>
                <w:kern w:val="0"/>
                <w:sz w:val="22"/>
                <w:szCs w:val="22"/>
              </w:rPr>
              <w:t>2个</w:t>
            </w:r>
          </w:p>
        </w:tc>
        <w:tc>
          <w:tcPr>
            <w:tcW w:w="1300" w:type="dxa"/>
            <w:tcBorders>
              <w:top w:val="nil"/>
              <w:left w:val="nil"/>
              <w:bottom w:val="single" w:color="auto" w:sz="4" w:space="0"/>
              <w:right w:val="single" w:color="auto" w:sz="4" w:space="0"/>
            </w:tcBorders>
            <w:shd w:val="clear" w:color="auto" w:fill="auto"/>
            <w:vAlign w:val="center"/>
          </w:tcPr>
          <w:p w14:paraId="2FA0250B">
            <w:pPr>
              <w:widowControl/>
              <w:jc w:val="center"/>
              <w:rPr>
                <w:rFonts w:ascii="宋体" w:hAnsi="宋体" w:cs="宋体"/>
                <w:kern w:val="0"/>
                <w:sz w:val="22"/>
                <w:szCs w:val="22"/>
              </w:rPr>
            </w:pPr>
            <w:r>
              <w:rPr>
                <w:rFonts w:hint="eastAsia" w:ascii="宋体" w:hAnsi="宋体" w:cs="宋体"/>
                <w:kern w:val="0"/>
                <w:sz w:val="22"/>
                <w:szCs w:val="22"/>
              </w:rPr>
              <w:t>100%</w:t>
            </w:r>
          </w:p>
        </w:tc>
        <w:tc>
          <w:tcPr>
            <w:tcW w:w="1120" w:type="dxa"/>
            <w:tcBorders>
              <w:top w:val="nil"/>
              <w:left w:val="nil"/>
              <w:bottom w:val="single" w:color="auto" w:sz="4" w:space="0"/>
              <w:right w:val="single" w:color="auto" w:sz="4" w:space="0"/>
            </w:tcBorders>
            <w:shd w:val="clear" w:color="auto" w:fill="auto"/>
            <w:vAlign w:val="center"/>
          </w:tcPr>
          <w:p w14:paraId="2CA0E73A">
            <w:pPr>
              <w:widowControl/>
              <w:jc w:val="left"/>
              <w:rPr>
                <w:rFonts w:ascii="宋体" w:hAnsi="宋体" w:cs="宋体"/>
                <w:kern w:val="0"/>
                <w:sz w:val="22"/>
                <w:szCs w:val="22"/>
              </w:rPr>
            </w:pPr>
            <w:r>
              <w:rPr>
                <w:rFonts w:hint="eastAsia" w:ascii="宋体" w:hAnsi="宋体" w:cs="宋体"/>
                <w:kern w:val="0"/>
                <w:sz w:val="22"/>
                <w:szCs w:val="22"/>
              </w:rPr>
              <w:t>　</w:t>
            </w:r>
          </w:p>
        </w:tc>
      </w:tr>
      <w:tr w14:paraId="0FE1F2D0">
        <w:tblPrEx>
          <w:tblCellMar>
            <w:top w:w="0" w:type="dxa"/>
            <w:left w:w="108" w:type="dxa"/>
            <w:bottom w:w="0" w:type="dxa"/>
            <w:right w:w="108" w:type="dxa"/>
          </w:tblCellMar>
        </w:tblPrEx>
        <w:trPr>
          <w:trHeight w:val="1170" w:hRule="atLeast"/>
        </w:trPr>
        <w:tc>
          <w:tcPr>
            <w:tcW w:w="740" w:type="dxa"/>
            <w:vMerge w:val="continue"/>
            <w:tcBorders>
              <w:top w:val="nil"/>
              <w:left w:val="single" w:color="auto" w:sz="4" w:space="0"/>
              <w:bottom w:val="single" w:color="000000" w:sz="4" w:space="0"/>
              <w:right w:val="single" w:color="auto" w:sz="4" w:space="0"/>
            </w:tcBorders>
            <w:vAlign w:val="center"/>
          </w:tcPr>
          <w:p w14:paraId="6819D3F6">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14:paraId="58B6C865">
            <w:pPr>
              <w:widowControl/>
              <w:jc w:val="left"/>
              <w:rPr>
                <w:rFonts w:ascii="宋体" w:hAnsi="宋体" w:cs="宋体"/>
                <w:kern w:val="0"/>
                <w:sz w:val="22"/>
                <w:szCs w:val="22"/>
              </w:rPr>
            </w:pPr>
          </w:p>
        </w:tc>
        <w:tc>
          <w:tcPr>
            <w:tcW w:w="700" w:type="dxa"/>
            <w:tcBorders>
              <w:top w:val="nil"/>
              <w:left w:val="nil"/>
              <w:bottom w:val="single" w:color="auto" w:sz="4" w:space="0"/>
              <w:right w:val="single" w:color="auto" w:sz="4" w:space="0"/>
            </w:tcBorders>
            <w:shd w:val="clear" w:color="auto" w:fill="auto"/>
            <w:vAlign w:val="center"/>
          </w:tcPr>
          <w:p w14:paraId="3EC4AB0F">
            <w:pPr>
              <w:widowControl/>
              <w:jc w:val="center"/>
              <w:rPr>
                <w:rFonts w:ascii="宋体" w:hAnsi="宋体" w:cs="宋体"/>
                <w:kern w:val="0"/>
                <w:sz w:val="22"/>
                <w:szCs w:val="22"/>
              </w:rPr>
            </w:pPr>
            <w:r>
              <w:rPr>
                <w:rFonts w:hint="eastAsia" w:ascii="宋体" w:hAnsi="宋体" w:cs="宋体"/>
                <w:kern w:val="0"/>
                <w:sz w:val="22"/>
                <w:szCs w:val="22"/>
              </w:rPr>
              <w:t>质量指标</w:t>
            </w:r>
          </w:p>
        </w:tc>
        <w:tc>
          <w:tcPr>
            <w:tcW w:w="2340" w:type="dxa"/>
            <w:tcBorders>
              <w:top w:val="nil"/>
              <w:left w:val="nil"/>
              <w:bottom w:val="single" w:color="auto" w:sz="4" w:space="0"/>
              <w:right w:val="single" w:color="auto" w:sz="4" w:space="0"/>
            </w:tcBorders>
            <w:shd w:val="clear" w:color="auto" w:fill="auto"/>
            <w:vAlign w:val="center"/>
          </w:tcPr>
          <w:p w14:paraId="4B8BFF84">
            <w:pPr>
              <w:widowControl/>
              <w:jc w:val="left"/>
              <w:rPr>
                <w:rFonts w:ascii="宋体" w:hAnsi="宋体" w:cs="宋体"/>
                <w:kern w:val="0"/>
                <w:sz w:val="22"/>
                <w:szCs w:val="22"/>
              </w:rPr>
            </w:pPr>
            <w:r>
              <w:rPr>
                <w:rFonts w:hint="eastAsia" w:ascii="宋体" w:hAnsi="宋体" w:cs="宋体"/>
                <w:kern w:val="0"/>
                <w:sz w:val="22"/>
                <w:szCs w:val="22"/>
              </w:rPr>
              <w:t>按时按要求完成全年争取资金任务</w:t>
            </w:r>
          </w:p>
        </w:tc>
        <w:tc>
          <w:tcPr>
            <w:tcW w:w="1360" w:type="dxa"/>
            <w:tcBorders>
              <w:top w:val="nil"/>
              <w:left w:val="nil"/>
              <w:bottom w:val="single" w:color="auto" w:sz="4" w:space="0"/>
              <w:right w:val="single" w:color="auto" w:sz="4" w:space="0"/>
            </w:tcBorders>
            <w:shd w:val="clear" w:color="auto" w:fill="auto"/>
            <w:vAlign w:val="center"/>
          </w:tcPr>
          <w:p w14:paraId="35A14AF2">
            <w:pPr>
              <w:widowControl/>
              <w:jc w:val="left"/>
              <w:rPr>
                <w:rFonts w:ascii="宋体" w:hAnsi="宋体" w:cs="宋体"/>
                <w:kern w:val="0"/>
                <w:sz w:val="22"/>
                <w:szCs w:val="22"/>
              </w:rPr>
            </w:pPr>
            <w:r>
              <w:rPr>
                <w:rFonts w:hint="eastAsia" w:ascii="宋体" w:hAnsi="宋体" w:cs="宋体"/>
                <w:kern w:val="0"/>
                <w:sz w:val="22"/>
                <w:szCs w:val="22"/>
              </w:rPr>
              <w:t>按时按要求完成全年争取资金任务</w:t>
            </w:r>
          </w:p>
        </w:tc>
        <w:tc>
          <w:tcPr>
            <w:tcW w:w="840" w:type="dxa"/>
            <w:tcBorders>
              <w:top w:val="nil"/>
              <w:left w:val="nil"/>
              <w:bottom w:val="single" w:color="auto" w:sz="4" w:space="0"/>
              <w:right w:val="single" w:color="auto" w:sz="4" w:space="0"/>
            </w:tcBorders>
            <w:shd w:val="clear" w:color="auto" w:fill="auto"/>
            <w:vAlign w:val="center"/>
          </w:tcPr>
          <w:p w14:paraId="5166DDFD">
            <w:pPr>
              <w:widowControl/>
              <w:jc w:val="left"/>
              <w:rPr>
                <w:rFonts w:ascii="宋体" w:hAnsi="宋体" w:cs="宋体"/>
                <w:kern w:val="0"/>
                <w:sz w:val="22"/>
                <w:szCs w:val="22"/>
              </w:rPr>
            </w:pPr>
            <w:r>
              <w:rPr>
                <w:rFonts w:hint="eastAsia" w:ascii="宋体" w:hAnsi="宋体" w:cs="宋体"/>
                <w:kern w:val="0"/>
                <w:sz w:val="22"/>
                <w:szCs w:val="22"/>
              </w:rPr>
              <w:t>已完成</w:t>
            </w:r>
          </w:p>
        </w:tc>
        <w:tc>
          <w:tcPr>
            <w:tcW w:w="1300" w:type="dxa"/>
            <w:tcBorders>
              <w:top w:val="nil"/>
              <w:left w:val="nil"/>
              <w:bottom w:val="single" w:color="auto" w:sz="4" w:space="0"/>
              <w:right w:val="single" w:color="auto" w:sz="4" w:space="0"/>
            </w:tcBorders>
            <w:shd w:val="clear" w:color="auto" w:fill="auto"/>
            <w:vAlign w:val="center"/>
          </w:tcPr>
          <w:p w14:paraId="6C237AD9">
            <w:pPr>
              <w:widowControl/>
              <w:jc w:val="center"/>
              <w:rPr>
                <w:rFonts w:ascii="宋体" w:hAnsi="宋体" w:cs="宋体"/>
                <w:kern w:val="0"/>
                <w:sz w:val="22"/>
                <w:szCs w:val="22"/>
              </w:rPr>
            </w:pPr>
            <w:r>
              <w:rPr>
                <w:rFonts w:hint="eastAsia" w:ascii="宋体" w:hAnsi="宋体" w:cs="宋体"/>
                <w:kern w:val="0"/>
                <w:sz w:val="22"/>
                <w:szCs w:val="22"/>
              </w:rPr>
              <w:t>100%</w:t>
            </w:r>
          </w:p>
        </w:tc>
        <w:tc>
          <w:tcPr>
            <w:tcW w:w="1120" w:type="dxa"/>
            <w:tcBorders>
              <w:top w:val="nil"/>
              <w:left w:val="nil"/>
              <w:bottom w:val="single" w:color="auto" w:sz="4" w:space="0"/>
              <w:right w:val="single" w:color="auto" w:sz="4" w:space="0"/>
            </w:tcBorders>
            <w:shd w:val="clear" w:color="auto" w:fill="auto"/>
            <w:vAlign w:val="center"/>
          </w:tcPr>
          <w:p w14:paraId="42697EC4">
            <w:pPr>
              <w:widowControl/>
              <w:jc w:val="left"/>
              <w:rPr>
                <w:rFonts w:ascii="宋体" w:hAnsi="宋体" w:cs="宋体"/>
                <w:kern w:val="0"/>
                <w:sz w:val="22"/>
                <w:szCs w:val="22"/>
              </w:rPr>
            </w:pPr>
            <w:r>
              <w:rPr>
                <w:rFonts w:hint="eastAsia" w:ascii="宋体" w:hAnsi="宋体" w:cs="宋体"/>
                <w:kern w:val="0"/>
                <w:sz w:val="22"/>
                <w:szCs w:val="22"/>
              </w:rPr>
              <w:t>　</w:t>
            </w:r>
          </w:p>
        </w:tc>
      </w:tr>
      <w:tr w14:paraId="1ECB0FC8">
        <w:tblPrEx>
          <w:tblCellMar>
            <w:top w:w="0" w:type="dxa"/>
            <w:left w:w="108" w:type="dxa"/>
            <w:bottom w:w="0" w:type="dxa"/>
            <w:right w:w="108" w:type="dxa"/>
          </w:tblCellMar>
        </w:tblPrEx>
        <w:trPr>
          <w:trHeight w:val="765" w:hRule="atLeast"/>
        </w:trPr>
        <w:tc>
          <w:tcPr>
            <w:tcW w:w="740" w:type="dxa"/>
            <w:vMerge w:val="continue"/>
            <w:tcBorders>
              <w:top w:val="nil"/>
              <w:left w:val="single" w:color="auto" w:sz="4" w:space="0"/>
              <w:bottom w:val="single" w:color="000000" w:sz="4" w:space="0"/>
              <w:right w:val="single" w:color="auto" w:sz="4" w:space="0"/>
            </w:tcBorders>
            <w:vAlign w:val="center"/>
          </w:tcPr>
          <w:p w14:paraId="24356AF3">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14:paraId="120CC307">
            <w:pPr>
              <w:widowControl/>
              <w:jc w:val="left"/>
              <w:rPr>
                <w:rFonts w:ascii="宋体" w:hAnsi="宋体" w:cs="宋体"/>
                <w:kern w:val="0"/>
                <w:sz w:val="22"/>
                <w:szCs w:val="22"/>
              </w:rPr>
            </w:pPr>
          </w:p>
        </w:tc>
        <w:tc>
          <w:tcPr>
            <w:tcW w:w="700" w:type="dxa"/>
            <w:tcBorders>
              <w:top w:val="nil"/>
              <w:left w:val="nil"/>
              <w:bottom w:val="single" w:color="auto" w:sz="4" w:space="0"/>
              <w:right w:val="single" w:color="auto" w:sz="4" w:space="0"/>
            </w:tcBorders>
            <w:shd w:val="clear" w:color="auto" w:fill="auto"/>
            <w:vAlign w:val="center"/>
          </w:tcPr>
          <w:p w14:paraId="3C0C778A">
            <w:pPr>
              <w:widowControl/>
              <w:jc w:val="center"/>
              <w:rPr>
                <w:rFonts w:ascii="宋体" w:hAnsi="宋体" w:cs="宋体"/>
                <w:kern w:val="0"/>
                <w:sz w:val="22"/>
                <w:szCs w:val="22"/>
              </w:rPr>
            </w:pPr>
            <w:r>
              <w:rPr>
                <w:rFonts w:hint="eastAsia" w:ascii="宋体" w:hAnsi="宋体" w:cs="宋体"/>
                <w:kern w:val="0"/>
                <w:sz w:val="22"/>
                <w:szCs w:val="22"/>
              </w:rPr>
              <w:t>时效指标</w:t>
            </w:r>
          </w:p>
        </w:tc>
        <w:tc>
          <w:tcPr>
            <w:tcW w:w="2340" w:type="dxa"/>
            <w:tcBorders>
              <w:top w:val="nil"/>
              <w:left w:val="nil"/>
              <w:bottom w:val="single" w:color="auto" w:sz="4" w:space="0"/>
              <w:right w:val="single" w:color="auto" w:sz="4" w:space="0"/>
            </w:tcBorders>
            <w:shd w:val="clear" w:color="auto" w:fill="auto"/>
            <w:vAlign w:val="center"/>
          </w:tcPr>
          <w:p w14:paraId="56361DEF">
            <w:pPr>
              <w:widowControl/>
              <w:jc w:val="left"/>
              <w:rPr>
                <w:rFonts w:ascii="宋体" w:hAnsi="宋体" w:cs="宋体"/>
                <w:kern w:val="0"/>
                <w:sz w:val="22"/>
                <w:szCs w:val="22"/>
              </w:rPr>
            </w:pPr>
            <w:r>
              <w:rPr>
                <w:rFonts w:hint="eastAsia" w:ascii="宋体" w:hAnsi="宋体" w:cs="宋体"/>
                <w:kern w:val="0"/>
                <w:sz w:val="22"/>
                <w:szCs w:val="22"/>
              </w:rPr>
              <w:t>2021年底前完成</w:t>
            </w:r>
          </w:p>
        </w:tc>
        <w:tc>
          <w:tcPr>
            <w:tcW w:w="1360" w:type="dxa"/>
            <w:tcBorders>
              <w:top w:val="nil"/>
              <w:left w:val="nil"/>
              <w:bottom w:val="single" w:color="auto" w:sz="4" w:space="0"/>
              <w:right w:val="single" w:color="auto" w:sz="4" w:space="0"/>
            </w:tcBorders>
            <w:shd w:val="clear" w:color="auto" w:fill="auto"/>
            <w:vAlign w:val="center"/>
          </w:tcPr>
          <w:p w14:paraId="2DDA9AC4">
            <w:pPr>
              <w:widowControl/>
              <w:jc w:val="left"/>
              <w:rPr>
                <w:rFonts w:ascii="宋体" w:hAnsi="宋体" w:cs="宋体"/>
                <w:kern w:val="0"/>
                <w:sz w:val="22"/>
                <w:szCs w:val="22"/>
              </w:rPr>
            </w:pPr>
            <w:r>
              <w:rPr>
                <w:rFonts w:hint="eastAsia" w:ascii="宋体" w:hAnsi="宋体" w:cs="宋体"/>
                <w:kern w:val="0"/>
                <w:sz w:val="22"/>
                <w:szCs w:val="22"/>
              </w:rPr>
              <w:t>2021年12月31日前</w:t>
            </w:r>
          </w:p>
        </w:tc>
        <w:tc>
          <w:tcPr>
            <w:tcW w:w="840" w:type="dxa"/>
            <w:tcBorders>
              <w:top w:val="nil"/>
              <w:left w:val="nil"/>
              <w:bottom w:val="nil"/>
              <w:right w:val="nil"/>
            </w:tcBorders>
            <w:shd w:val="clear" w:color="auto" w:fill="auto"/>
            <w:vAlign w:val="center"/>
          </w:tcPr>
          <w:p w14:paraId="296278FE">
            <w:pPr>
              <w:widowControl/>
              <w:jc w:val="left"/>
              <w:rPr>
                <w:rFonts w:ascii="宋体" w:hAnsi="宋体" w:cs="宋体"/>
                <w:kern w:val="0"/>
                <w:sz w:val="22"/>
                <w:szCs w:val="22"/>
              </w:rPr>
            </w:pPr>
            <w:r>
              <w:rPr>
                <w:rFonts w:hint="eastAsia" w:ascii="宋体" w:hAnsi="宋体" w:cs="宋体"/>
                <w:kern w:val="0"/>
                <w:sz w:val="22"/>
                <w:szCs w:val="22"/>
              </w:rPr>
              <w:t>已完成</w:t>
            </w:r>
          </w:p>
        </w:tc>
        <w:tc>
          <w:tcPr>
            <w:tcW w:w="1300" w:type="dxa"/>
            <w:tcBorders>
              <w:top w:val="nil"/>
              <w:left w:val="single" w:color="auto" w:sz="4" w:space="0"/>
              <w:bottom w:val="single" w:color="auto" w:sz="4" w:space="0"/>
              <w:right w:val="single" w:color="auto" w:sz="4" w:space="0"/>
            </w:tcBorders>
            <w:shd w:val="clear" w:color="auto" w:fill="auto"/>
            <w:vAlign w:val="center"/>
          </w:tcPr>
          <w:p w14:paraId="0DA1FFC1">
            <w:pPr>
              <w:widowControl/>
              <w:jc w:val="center"/>
              <w:rPr>
                <w:rFonts w:ascii="宋体" w:hAnsi="宋体" w:cs="宋体"/>
                <w:kern w:val="0"/>
                <w:sz w:val="22"/>
                <w:szCs w:val="22"/>
              </w:rPr>
            </w:pPr>
            <w:r>
              <w:rPr>
                <w:rFonts w:hint="eastAsia" w:ascii="宋体" w:hAnsi="宋体" w:cs="宋体"/>
                <w:kern w:val="0"/>
                <w:sz w:val="22"/>
                <w:szCs w:val="22"/>
              </w:rPr>
              <w:t>100%</w:t>
            </w:r>
          </w:p>
        </w:tc>
        <w:tc>
          <w:tcPr>
            <w:tcW w:w="1120" w:type="dxa"/>
            <w:tcBorders>
              <w:top w:val="nil"/>
              <w:left w:val="nil"/>
              <w:bottom w:val="single" w:color="auto" w:sz="4" w:space="0"/>
              <w:right w:val="single" w:color="auto" w:sz="4" w:space="0"/>
            </w:tcBorders>
            <w:shd w:val="clear" w:color="auto" w:fill="auto"/>
            <w:vAlign w:val="center"/>
          </w:tcPr>
          <w:p w14:paraId="16A63BD5">
            <w:pPr>
              <w:widowControl/>
              <w:jc w:val="left"/>
              <w:rPr>
                <w:rFonts w:ascii="宋体" w:hAnsi="宋体" w:cs="宋体"/>
                <w:kern w:val="0"/>
                <w:sz w:val="22"/>
                <w:szCs w:val="22"/>
              </w:rPr>
            </w:pPr>
            <w:r>
              <w:rPr>
                <w:rFonts w:hint="eastAsia" w:ascii="宋体" w:hAnsi="宋体" w:cs="宋体"/>
                <w:kern w:val="0"/>
                <w:sz w:val="22"/>
                <w:szCs w:val="22"/>
              </w:rPr>
              <w:t>　</w:t>
            </w:r>
          </w:p>
        </w:tc>
      </w:tr>
      <w:tr w14:paraId="0D79DC60">
        <w:tblPrEx>
          <w:tblCellMar>
            <w:top w:w="0" w:type="dxa"/>
            <w:left w:w="108" w:type="dxa"/>
            <w:bottom w:w="0" w:type="dxa"/>
            <w:right w:w="108" w:type="dxa"/>
          </w:tblCellMar>
        </w:tblPrEx>
        <w:trPr>
          <w:trHeight w:val="765" w:hRule="atLeast"/>
        </w:trPr>
        <w:tc>
          <w:tcPr>
            <w:tcW w:w="740" w:type="dxa"/>
            <w:vMerge w:val="continue"/>
            <w:tcBorders>
              <w:top w:val="nil"/>
              <w:left w:val="single" w:color="auto" w:sz="4" w:space="0"/>
              <w:bottom w:val="single" w:color="000000" w:sz="4" w:space="0"/>
              <w:right w:val="single" w:color="auto" w:sz="4" w:space="0"/>
            </w:tcBorders>
            <w:vAlign w:val="center"/>
          </w:tcPr>
          <w:p w14:paraId="327882FE">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14:paraId="07E82325">
            <w:pPr>
              <w:widowControl/>
              <w:jc w:val="left"/>
              <w:rPr>
                <w:rFonts w:ascii="宋体" w:hAnsi="宋体" w:cs="宋体"/>
                <w:kern w:val="0"/>
                <w:sz w:val="22"/>
                <w:szCs w:val="22"/>
              </w:rPr>
            </w:pPr>
          </w:p>
        </w:tc>
        <w:tc>
          <w:tcPr>
            <w:tcW w:w="700" w:type="dxa"/>
            <w:tcBorders>
              <w:top w:val="nil"/>
              <w:left w:val="nil"/>
              <w:bottom w:val="single" w:color="auto" w:sz="4" w:space="0"/>
              <w:right w:val="single" w:color="auto" w:sz="4" w:space="0"/>
            </w:tcBorders>
            <w:shd w:val="clear" w:color="auto" w:fill="auto"/>
            <w:vAlign w:val="center"/>
          </w:tcPr>
          <w:p w14:paraId="73A18783">
            <w:pPr>
              <w:widowControl/>
              <w:jc w:val="center"/>
              <w:rPr>
                <w:rFonts w:ascii="宋体" w:hAnsi="宋体" w:cs="宋体"/>
                <w:kern w:val="0"/>
                <w:sz w:val="22"/>
                <w:szCs w:val="22"/>
              </w:rPr>
            </w:pPr>
            <w:r>
              <w:rPr>
                <w:rFonts w:hint="eastAsia" w:ascii="宋体" w:hAnsi="宋体" w:cs="宋体"/>
                <w:kern w:val="0"/>
                <w:sz w:val="22"/>
                <w:szCs w:val="22"/>
              </w:rPr>
              <w:t>成本指标</w:t>
            </w:r>
          </w:p>
        </w:tc>
        <w:tc>
          <w:tcPr>
            <w:tcW w:w="2340" w:type="dxa"/>
            <w:tcBorders>
              <w:top w:val="nil"/>
              <w:left w:val="nil"/>
              <w:bottom w:val="single" w:color="auto" w:sz="4" w:space="0"/>
              <w:right w:val="single" w:color="auto" w:sz="4" w:space="0"/>
            </w:tcBorders>
            <w:shd w:val="clear" w:color="auto" w:fill="auto"/>
            <w:vAlign w:val="center"/>
          </w:tcPr>
          <w:p w14:paraId="2BFB0966">
            <w:pPr>
              <w:widowControl/>
              <w:jc w:val="left"/>
              <w:rPr>
                <w:rFonts w:ascii="宋体" w:hAnsi="宋体" w:cs="宋体"/>
                <w:kern w:val="0"/>
                <w:sz w:val="22"/>
                <w:szCs w:val="22"/>
              </w:rPr>
            </w:pPr>
            <w:r>
              <w:rPr>
                <w:rFonts w:hint="eastAsia" w:ascii="宋体" w:hAnsi="宋体" w:cs="宋体"/>
                <w:kern w:val="0"/>
                <w:sz w:val="22"/>
                <w:szCs w:val="22"/>
              </w:rPr>
              <w:t>争取资金专项工作经费</w:t>
            </w:r>
          </w:p>
        </w:tc>
        <w:tc>
          <w:tcPr>
            <w:tcW w:w="1360" w:type="dxa"/>
            <w:tcBorders>
              <w:top w:val="nil"/>
              <w:left w:val="nil"/>
              <w:bottom w:val="single" w:color="auto" w:sz="4" w:space="0"/>
              <w:right w:val="single" w:color="auto" w:sz="4" w:space="0"/>
            </w:tcBorders>
            <w:shd w:val="clear" w:color="auto" w:fill="auto"/>
            <w:vAlign w:val="center"/>
          </w:tcPr>
          <w:p w14:paraId="61397CAD">
            <w:pPr>
              <w:widowControl/>
              <w:jc w:val="left"/>
              <w:rPr>
                <w:rFonts w:ascii="宋体" w:hAnsi="宋体" w:cs="宋体"/>
                <w:kern w:val="0"/>
                <w:sz w:val="22"/>
                <w:szCs w:val="22"/>
              </w:rPr>
            </w:pPr>
            <w:r>
              <w:rPr>
                <w:rFonts w:hint="eastAsia" w:ascii="宋体" w:hAnsi="宋体" w:cs="宋体"/>
                <w:kern w:val="0"/>
                <w:sz w:val="22"/>
                <w:szCs w:val="22"/>
              </w:rPr>
              <w:t>10万元</w:t>
            </w:r>
          </w:p>
        </w:tc>
        <w:tc>
          <w:tcPr>
            <w:tcW w:w="840" w:type="dxa"/>
            <w:tcBorders>
              <w:top w:val="single" w:color="auto" w:sz="4" w:space="0"/>
              <w:left w:val="nil"/>
              <w:bottom w:val="single" w:color="auto" w:sz="4" w:space="0"/>
              <w:right w:val="single" w:color="auto" w:sz="4" w:space="0"/>
            </w:tcBorders>
            <w:shd w:val="clear" w:color="auto" w:fill="auto"/>
            <w:vAlign w:val="center"/>
          </w:tcPr>
          <w:p w14:paraId="26BC00D0">
            <w:pPr>
              <w:widowControl/>
              <w:jc w:val="left"/>
              <w:rPr>
                <w:rFonts w:ascii="宋体" w:hAnsi="宋体" w:cs="宋体"/>
                <w:kern w:val="0"/>
                <w:sz w:val="22"/>
                <w:szCs w:val="22"/>
              </w:rPr>
            </w:pPr>
            <w:r>
              <w:rPr>
                <w:rFonts w:hint="eastAsia" w:ascii="宋体" w:hAnsi="宋体" w:cs="宋体"/>
                <w:kern w:val="0"/>
                <w:sz w:val="22"/>
                <w:szCs w:val="22"/>
              </w:rPr>
              <w:t>10万元</w:t>
            </w:r>
          </w:p>
        </w:tc>
        <w:tc>
          <w:tcPr>
            <w:tcW w:w="1300" w:type="dxa"/>
            <w:tcBorders>
              <w:top w:val="nil"/>
              <w:left w:val="nil"/>
              <w:bottom w:val="single" w:color="auto" w:sz="4" w:space="0"/>
              <w:right w:val="single" w:color="auto" w:sz="4" w:space="0"/>
            </w:tcBorders>
            <w:shd w:val="clear" w:color="auto" w:fill="auto"/>
            <w:vAlign w:val="center"/>
          </w:tcPr>
          <w:p w14:paraId="4369EF29">
            <w:pPr>
              <w:widowControl/>
              <w:jc w:val="center"/>
              <w:rPr>
                <w:rFonts w:ascii="宋体" w:hAnsi="宋体" w:cs="宋体"/>
                <w:kern w:val="0"/>
                <w:sz w:val="22"/>
                <w:szCs w:val="22"/>
              </w:rPr>
            </w:pPr>
            <w:r>
              <w:rPr>
                <w:rFonts w:hint="eastAsia" w:ascii="宋体" w:hAnsi="宋体" w:cs="宋体"/>
                <w:kern w:val="0"/>
                <w:sz w:val="22"/>
                <w:szCs w:val="22"/>
              </w:rPr>
              <w:t>100%</w:t>
            </w:r>
          </w:p>
        </w:tc>
        <w:tc>
          <w:tcPr>
            <w:tcW w:w="1120" w:type="dxa"/>
            <w:tcBorders>
              <w:top w:val="nil"/>
              <w:left w:val="nil"/>
              <w:bottom w:val="single" w:color="auto" w:sz="4" w:space="0"/>
              <w:right w:val="single" w:color="auto" w:sz="4" w:space="0"/>
            </w:tcBorders>
            <w:shd w:val="clear" w:color="auto" w:fill="auto"/>
            <w:vAlign w:val="center"/>
          </w:tcPr>
          <w:p w14:paraId="5284840E">
            <w:pPr>
              <w:widowControl/>
              <w:jc w:val="left"/>
              <w:rPr>
                <w:rFonts w:ascii="宋体" w:hAnsi="宋体" w:cs="宋体"/>
                <w:kern w:val="0"/>
                <w:sz w:val="22"/>
                <w:szCs w:val="22"/>
              </w:rPr>
            </w:pPr>
            <w:r>
              <w:rPr>
                <w:rFonts w:hint="eastAsia" w:ascii="宋体" w:hAnsi="宋体" w:cs="宋体"/>
                <w:kern w:val="0"/>
                <w:sz w:val="22"/>
                <w:szCs w:val="22"/>
              </w:rPr>
              <w:t>　</w:t>
            </w:r>
          </w:p>
        </w:tc>
      </w:tr>
      <w:tr w14:paraId="67DB2FFE">
        <w:tblPrEx>
          <w:tblCellMar>
            <w:top w:w="0" w:type="dxa"/>
            <w:left w:w="108" w:type="dxa"/>
            <w:bottom w:w="0" w:type="dxa"/>
            <w:right w:w="108" w:type="dxa"/>
          </w:tblCellMar>
        </w:tblPrEx>
        <w:trPr>
          <w:trHeight w:val="765" w:hRule="atLeast"/>
        </w:trPr>
        <w:tc>
          <w:tcPr>
            <w:tcW w:w="740" w:type="dxa"/>
            <w:vMerge w:val="continue"/>
            <w:tcBorders>
              <w:top w:val="nil"/>
              <w:left w:val="single" w:color="auto" w:sz="4" w:space="0"/>
              <w:bottom w:val="single" w:color="000000" w:sz="4" w:space="0"/>
              <w:right w:val="single" w:color="auto" w:sz="4" w:space="0"/>
            </w:tcBorders>
            <w:vAlign w:val="center"/>
          </w:tcPr>
          <w:p w14:paraId="645D12AD">
            <w:pPr>
              <w:widowControl/>
              <w:jc w:val="left"/>
              <w:rPr>
                <w:rFonts w:ascii="宋体" w:hAnsi="宋体" w:cs="宋体"/>
                <w:kern w:val="0"/>
                <w:sz w:val="22"/>
                <w:szCs w:val="22"/>
              </w:rPr>
            </w:pPr>
          </w:p>
        </w:tc>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72E08D4D">
            <w:pPr>
              <w:widowControl/>
              <w:jc w:val="center"/>
              <w:rPr>
                <w:rFonts w:ascii="宋体" w:hAnsi="宋体" w:cs="宋体"/>
                <w:kern w:val="0"/>
                <w:sz w:val="22"/>
                <w:szCs w:val="22"/>
              </w:rPr>
            </w:pPr>
            <w:r>
              <w:rPr>
                <w:rFonts w:hint="eastAsia" w:ascii="宋体" w:hAnsi="宋体" w:cs="宋体"/>
                <w:kern w:val="0"/>
                <w:sz w:val="22"/>
                <w:szCs w:val="22"/>
              </w:rPr>
              <w:t>项目效益</w:t>
            </w:r>
          </w:p>
        </w:tc>
        <w:tc>
          <w:tcPr>
            <w:tcW w:w="700" w:type="dxa"/>
            <w:tcBorders>
              <w:top w:val="nil"/>
              <w:left w:val="nil"/>
              <w:bottom w:val="single" w:color="auto" w:sz="4" w:space="0"/>
              <w:right w:val="single" w:color="auto" w:sz="4" w:space="0"/>
            </w:tcBorders>
            <w:shd w:val="clear" w:color="auto" w:fill="auto"/>
            <w:vAlign w:val="center"/>
          </w:tcPr>
          <w:p w14:paraId="313BFE58">
            <w:pPr>
              <w:widowControl/>
              <w:jc w:val="center"/>
              <w:rPr>
                <w:rFonts w:ascii="宋体" w:hAnsi="宋体" w:cs="宋体"/>
                <w:kern w:val="0"/>
                <w:sz w:val="22"/>
                <w:szCs w:val="22"/>
              </w:rPr>
            </w:pPr>
            <w:r>
              <w:rPr>
                <w:rFonts w:hint="eastAsia" w:ascii="宋体" w:hAnsi="宋体" w:cs="宋体"/>
                <w:kern w:val="0"/>
                <w:sz w:val="22"/>
                <w:szCs w:val="22"/>
              </w:rPr>
              <w:t>经济效益</w:t>
            </w:r>
            <w:r>
              <w:rPr>
                <w:rFonts w:hint="eastAsia" w:ascii="宋体" w:hAnsi="宋体" w:cs="宋体"/>
                <w:kern w:val="0"/>
                <w:sz w:val="22"/>
                <w:szCs w:val="22"/>
              </w:rPr>
              <w:br w:type="textWrapping"/>
            </w:r>
            <w:r>
              <w:rPr>
                <w:rFonts w:hint="eastAsia" w:ascii="宋体" w:hAnsi="宋体" w:cs="宋体"/>
                <w:kern w:val="0"/>
                <w:sz w:val="22"/>
                <w:szCs w:val="22"/>
              </w:rPr>
              <w:t>指标</w:t>
            </w:r>
          </w:p>
        </w:tc>
        <w:tc>
          <w:tcPr>
            <w:tcW w:w="2340" w:type="dxa"/>
            <w:tcBorders>
              <w:top w:val="nil"/>
              <w:left w:val="nil"/>
              <w:bottom w:val="single" w:color="auto" w:sz="4" w:space="0"/>
              <w:right w:val="single" w:color="auto" w:sz="4" w:space="0"/>
            </w:tcBorders>
            <w:shd w:val="clear" w:color="auto" w:fill="auto"/>
            <w:vAlign w:val="center"/>
          </w:tcPr>
          <w:p w14:paraId="50BE6B5B">
            <w:pPr>
              <w:widowControl/>
              <w:jc w:val="left"/>
              <w:rPr>
                <w:rFonts w:ascii="宋体" w:hAnsi="宋体" w:cs="宋体"/>
                <w:kern w:val="0"/>
                <w:sz w:val="22"/>
                <w:szCs w:val="22"/>
              </w:rPr>
            </w:pPr>
            <w:r>
              <w:rPr>
                <w:rFonts w:hint="eastAsia" w:ascii="宋体" w:hAnsi="宋体" w:cs="宋体"/>
                <w:kern w:val="0"/>
                <w:sz w:val="22"/>
                <w:szCs w:val="22"/>
              </w:rPr>
              <w:t>规范财政资金管理，提高资金使用效益</w:t>
            </w:r>
          </w:p>
        </w:tc>
        <w:tc>
          <w:tcPr>
            <w:tcW w:w="1360" w:type="dxa"/>
            <w:tcBorders>
              <w:top w:val="nil"/>
              <w:left w:val="nil"/>
              <w:bottom w:val="single" w:color="auto" w:sz="4" w:space="0"/>
              <w:right w:val="single" w:color="auto" w:sz="4" w:space="0"/>
            </w:tcBorders>
            <w:shd w:val="clear" w:color="auto" w:fill="auto"/>
            <w:vAlign w:val="center"/>
          </w:tcPr>
          <w:p w14:paraId="6922C279">
            <w:pPr>
              <w:widowControl/>
              <w:jc w:val="left"/>
              <w:rPr>
                <w:rFonts w:ascii="宋体" w:hAnsi="宋体" w:cs="宋体"/>
                <w:kern w:val="0"/>
                <w:sz w:val="22"/>
                <w:szCs w:val="22"/>
              </w:rPr>
            </w:pPr>
            <w:r>
              <w:rPr>
                <w:rFonts w:hint="eastAsia" w:ascii="宋体" w:hAnsi="宋体" w:cs="宋体"/>
                <w:kern w:val="0"/>
                <w:sz w:val="22"/>
                <w:szCs w:val="22"/>
              </w:rPr>
              <w:t>提高资金使用效益</w:t>
            </w:r>
          </w:p>
        </w:tc>
        <w:tc>
          <w:tcPr>
            <w:tcW w:w="840" w:type="dxa"/>
            <w:tcBorders>
              <w:top w:val="nil"/>
              <w:left w:val="nil"/>
              <w:bottom w:val="single" w:color="auto" w:sz="4" w:space="0"/>
              <w:right w:val="single" w:color="auto" w:sz="4" w:space="0"/>
            </w:tcBorders>
            <w:shd w:val="clear" w:color="auto" w:fill="auto"/>
            <w:vAlign w:val="center"/>
          </w:tcPr>
          <w:p w14:paraId="272C9AFA">
            <w:pPr>
              <w:widowControl/>
              <w:jc w:val="left"/>
              <w:rPr>
                <w:rFonts w:ascii="宋体" w:hAnsi="宋体" w:cs="宋体"/>
                <w:kern w:val="0"/>
                <w:sz w:val="22"/>
                <w:szCs w:val="22"/>
              </w:rPr>
            </w:pPr>
            <w:r>
              <w:rPr>
                <w:rFonts w:hint="eastAsia" w:ascii="宋体" w:hAnsi="宋体" w:cs="宋体"/>
                <w:kern w:val="0"/>
                <w:sz w:val="22"/>
                <w:szCs w:val="22"/>
              </w:rPr>
              <w:t>已完成</w:t>
            </w:r>
          </w:p>
        </w:tc>
        <w:tc>
          <w:tcPr>
            <w:tcW w:w="1300" w:type="dxa"/>
            <w:tcBorders>
              <w:top w:val="nil"/>
              <w:left w:val="nil"/>
              <w:bottom w:val="single" w:color="auto" w:sz="4" w:space="0"/>
              <w:right w:val="single" w:color="auto" w:sz="4" w:space="0"/>
            </w:tcBorders>
            <w:shd w:val="clear" w:color="auto" w:fill="auto"/>
            <w:vAlign w:val="center"/>
          </w:tcPr>
          <w:p w14:paraId="44672A5F">
            <w:pPr>
              <w:widowControl/>
              <w:jc w:val="center"/>
              <w:rPr>
                <w:rFonts w:ascii="宋体" w:hAnsi="宋体" w:cs="宋体"/>
                <w:kern w:val="0"/>
                <w:sz w:val="22"/>
                <w:szCs w:val="22"/>
              </w:rPr>
            </w:pPr>
            <w:r>
              <w:rPr>
                <w:rFonts w:hint="eastAsia" w:ascii="宋体" w:hAnsi="宋体" w:cs="宋体"/>
                <w:kern w:val="0"/>
                <w:sz w:val="22"/>
                <w:szCs w:val="22"/>
              </w:rPr>
              <w:t>100%</w:t>
            </w:r>
          </w:p>
        </w:tc>
        <w:tc>
          <w:tcPr>
            <w:tcW w:w="1120" w:type="dxa"/>
            <w:tcBorders>
              <w:top w:val="nil"/>
              <w:left w:val="nil"/>
              <w:bottom w:val="single" w:color="auto" w:sz="4" w:space="0"/>
              <w:right w:val="single" w:color="auto" w:sz="4" w:space="0"/>
            </w:tcBorders>
            <w:shd w:val="clear" w:color="auto" w:fill="auto"/>
            <w:vAlign w:val="center"/>
          </w:tcPr>
          <w:p w14:paraId="73920040">
            <w:pPr>
              <w:widowControl/>
              <w:jc w:val="left"/>
              <w:rPr>
                <w:rFonts w:ascii="宋体" w:hAnsi="宋体" w:cs="宋体"/>
                <w:kern w:val="0"/>
                <w:sz w:val="22"/>
                <w:szCs w:val="22"/>
              </w:rPr>
            </w:pPr>
            <w:r>
              <w:rPr>
                <w:rFonts w:hint="eastAsia" w:ascii="宋体" w:hAnsi="宋体" w:cs="宋体"/>
                <w:kern w:val="0"/>
                <w:sz w:val="22"/>
                <w:szCs w:val="22"/>
              </w:rPr>
              <w:t>　</w:t>
            </w:r>
          </w:p>
        </w:tc>
      </w:tr>
      <w:tr w14:paraId="17530CAD">
        <w:tblPrEx>
          <w:tblCellMar>
            <w:top w:w="0" w:type="dxa"/>
            <w:left w:w="108" w:type="dxa"/>
            <w:bottom w:w="0" w:type="dxa"/>
            <w:right w:w="108" w:type="dxa"/>
          </w:tblCellMar>
        </w:tblPrEx>
        <w:trPr>
          <w:trHeight w:val="765" w:hRule="atLeast"/>
        </w:trPr>
        <w:tc>
          <w:tcPr>
            <w:tcW w:w="740" w:type="dxa"/>
            <w:vMerge w:val="continue"/>
            <w:tcBorders>
              <w:top w:val="nil"/>
              <w:left w:val="single" w:color="auto" w:sz="4" w:space="0"/>
              <w:bottom w:val="single" w:color="000000" w:sz="4" w:space="0"/>
              <w:right w:val="single" w:color="auto" w:sz="4" w:space="0"/>
            </w:tcBorders>
            <w:vAlign w:val="center"/>
          </w:tcPr>
          <w:p w14:paraId="722CC395">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14:paraId="2A5F3E3B">
            <w:pPr>
              <w:widowControl/>
              <w:jc w:val="left"/>
              <w:rPr>
                <w:rFonts w:ascii="宋体" w:hAnsi="宋体" w:cs="宋体"/>
                <w:kern w:val="0"/>
                <w:sz w:val="22"/>
                <w:szCs w:val="22"/>
              </w:rPr>
            </w:pPr>
          </w:p>
        </w:tc>
        <w:tc>
          <w:tcPr>
            <w:tcW w:w="700" w:type="dxa"/>
            <w:tcBorders>
              <w:top w:val="nil"/>
              <w:left w:val="nil"/>
              <w:bottom w:val="single" w:color="auto" w:sz="4" w:space="0"/>
              <w:right w:val="single" w:color="auto" w:sz="4" w:space="0"/>
            </w:tcBorders>
            <w:shd w:val="clear" w:color="auto" w:fill="auto"/>
            <w:vAlign w:val="center"/>
          </w:tcPr>
          <w:p w14:paraId="21444C9D">
            <w:pPr>
              <w:widowControl/>
              <w:jc w:val="center"/>
              <w:rPr>
                <w:rFonts w:ascii="宋体" w:hAnsi="宋体" w:cs="宋体"/>
                <w:kern w:val="0"/>
                <w:sz w:val="22"/>
                <w:szCs w:val="22"/>
              </w:rPr>
            </w:pPr>
            <w:r>
              <w:rPr>
                <w:rFonts w:hint="eastAsia" w:ascii="宋体" w:hAnsi="宋体" w:cs="宋体"/>
                <w:kern w:val="0"/>
                <w:sz w:val="22"/>
                <w:szCs w:val="22"/>
              </w:rPr>
              <w:t>社会效益</w:t>
            </w:r>
            <w:r>
              <w:rPr>
                <w:rFonts w:hint="eastAsia" w:ascii="宋体" w:hAnsi="宋体" w:cs="宋体"/>
                <w:kern w:val="0"/>
                <w:sz w:val="22"/>
                <w:szCs w:val="22"/>
              </w:rPr>
              <w:br w:type="textWrapping"/>
            </w:r>
            <w:r>
              <w:rPr>
                <w:rFonts w:hint="eastAsia" w:ascii="宋体" w:hAnsi="宋体" w:cs="宋体"/>
                <w:kern w:val="0"/>
                <w:sz w:val="22"/>
                <w:szCs w:val="22"/>
              </w:rPr>
              <w:t>指标</w:t>
            </w:r>
          </w:p>
        </w:tc>
        <w:tc>
          <w:tcPr>
            <w:tcW w:w="2340" w:type="dxa"/>
            <w:tcBorders>
              <w:top w:val="nil"/>
              <w:left w:val="nil"/>
              <w:bottom w:val="single" w:color="auto" w:sz="4" w:space="0"/>
              <w:right w:val="single" w:color="auto" w:sz="4" w:space="0"/>
            </w:tcBorders>
            <w:shd w:val="clear" w:color="auto" w:fill="auto"/>
            <w:vAlign w:val="center"/>
          </w:tcPr>
          <w:p w14:paraId="47F34AEA">
            <w:pPr>
              <w:widowControl/>
              <w:jc w:val="left"/>
              <w:rPr>
                <w:rFonts w:ascii="宋体" w:hAnsi="宋体" w:cs="宋体"/>
                <w:kern w:val="0"/>
                <w:sz w:val="22"/>
                <w:szCs w:val="22"/>
              </w:rPr>
            </w:pPr>
            <w:r>
              <w:rPr>
                <w:rFonts w:hint="eastAsia" w:ascii="宋体" w:hAnsi="宋体" w:cs="宋体"/>
                <w:kern w:val="0"/>
                <w:sz w:val="22"/>
                <w:szCs w:val="22"/>
              </w:rPr>
              <w:t>促进全市工业经济发展</w:t>
            </w:r>
          </w:p>
        </w:tc>
        <w:tc>
          <w:tcPr>
            <w:tcW w:w="1360" w:type="dxa"/>
            <w:tcBorders>
              <w:top w:val="nil"/>
              <w:left w:val="nil"/>
              <w:bottom w:val="single" w:color="auto" w:sz="4" w:space="0"/>
              <w:right w:val="single" w:color="auto" w:sz="4" w:space="0"/>
            </w:tcBorders>
            <w:shd w:val="clear" w:color="auto" w:fill="auto"/>
            <w:vAlign w:val="center"/>
          </w:tcPr>
          <w:p w14:paraId="29BA5010">
            <w:pPr>
              <w:widowControl/>
              <w:jc w:val="left"/>
              <w:rPr>
                <w:rFonts w:ascii="宋体" w:hAnsi="宋体" w:cs="宋体"/>
                <w:kern w:val="0"/>
                <w:sz w:val="22"/>
                <w:szCs w:val="22"/>
              </w:rPr>
            </w:pPr>
            <w:r>
              <w:rPr>
                <w:rFonts w:hint="eastAsia" w:ascii="宋体" w:hAnsi="宋体" w:cs="宋体"/>
                <w:kern w:val="0"/>
                <w:sz w:val="22"/>
                <w:szCs w:val="22"/>
              </w:rPr>
              <w:t>全市工业经济发展有明显成效</w:t>
            </w:r>
          </w:p>
        </w:tc>
        <w:tc>
          <w:tcPr>
            <w:tcW w:w="840" w:type="dxa"/>
            <w:tcBorders>
              <w:top w:val="nil"/>
              <w:left w:val="nil"/>
              <w:bottom w:val="single" w:color="auto" w:sz="4" w:space="0"/>
              <w:right w:val="single" w:color="auto" w:sz="4" w:space="0"/>
            </w:tcBorders>
            <w:shd w:val="clear" w:color="auto" w:fill="auto"/>
            <w:vAlign w:val="center"/>
          </w:tcPr>
          <w:p w14:paraId="498E8BA2">
            <w:pPr>
              <w:widowControl/>
              <w:jc w:val="left"/>
              <w:rPr>
                <w:rFonts w:ascii="宋体" w:hAnsi="宋体" w:cs="宋体"/>
                <w:kern w:val="0"/>
                <w:sz w:val="22"/>
                <w:szCs w:val="22"/>
              </w:rPr>
            </w:pPr>
            <w:r>
              <w:rPr>
                <w:rFonts w:hint="eastAsia" w:ascii="宋体" w:hAnsi="宋体" w:cs="宋体"/>
                <w:kern w:val="0"/>
                <w:sz w:val="22"/>
                <w:szCs w:val="22"/>
              </w:rPr>
              <w:t>已完成</w:t>
            </w:r>
          </w:p>
        </w:tc>
        <w:tc>
          <w:tcPr>
            <w:tcW w:w="1300" w:type="dxa"/>
            <w:tcBorders>
              <w:top w:val="nil"/>
              <w:left w:val="nil"/>
              <w:bottom w:val="single" w:color="auto" w:sz="4" w:space="0"/>
              <w:right w:val="single" w:color="auto" w:sz="4" w:space="0"/>
            </w:tcBorders>
            <w:shd w:val="clear" w:color="auto" w:fill="auto"/>
            <w:vAlign w:val="center"/>
          </w:tcPr>
          <w:p w14:paraId="4203E651">
            <w:pPr>
              <w:widowControl/>
              <w:jc w:val="center"/>
              <w:rPr>
                <w:rFonts w:ascii="宋体" w:hAnsi="宋体" w:cs="宋体"/>
                <w:kern w:val="0"/>
                <w:sz w:val="22"/>
                <w:szCs w:val="22"/>
              </w:rPr>
            </w:pPr>
            <w:r>
              <w:rPr>
                <w:rFonts w:hint="eastAsia" w:ascii="宋体" w:hAnsi="宋体" w:cs="宋体"/>
                <w:kern w:val="0"/>
                <w:sz w:val="22"/>
                <w:szCs w:val="22"/>
              </w:rPr>
              <w:t>100%</w:t>
            </w:r>
          </w:p>
        </w:tc>
        <w:tc>
          <w:tcPr>
            <w:tcW w:w="1120" w:type="dxa"/>
            <w:tcBorders>
              <w:top w:val="nil"/>
              <w:left w:val="nil"/>
              <w:bottom w:val="single" w:color="auto" w:sz="4" w:space="0"/>
              <w:right w:val="single" w:color="auto" w:sz="4" w:space="0"/>
            </w:tcBorders>
            <w:shd w:val="clear" w:color="auto" w:fill="auto"/>
            <w:vAlign w:val="center"/>
          </w:tcPr>
          <w:p w14:paraId="2032A879">
            <w:pPr>
              <w:widowControl/>
              <w:jc w:val="left"/>
              <w:rPr>
                <w:rFonts w:ascii="宋体" w:hAnsi="宋体" w:cs="宋体"/>
                <w:kern w:val="0"/>
                <w:sz w:val="22"/>
                <w:szCs w:val="22"/>
              </w:rPr>
            </w:pPr>
            <w:r>
              <w:rPr>
                <w:rFonts w:hint="eastAsia" w:ascii="宋体" w:hAnsi="宋体" w:cs="宋体"/>
                <w:kern w:val="0"/>
                <w:sz w:val="22"/>
                <w:szCs w:val="22"/>
              </w:rPr>
              <w:t>　</w:t>
            </w:r>
          </w:p>
        </w:tc>
      </w:tr>
      <w:tr w14:paraId="10BB3486">
        <w:tblPrEx>
          <w:tblCellMar>
            <w:top w:w="0" w:type="dxa"/>
            <w:left w:w="108" w:type="dxa"/>
            <w:bottom w:w="0" w:type="dxa"/>
            <w:right w:w="108" w:type="dxa"/>
          </w:tblCellMar>
        </w:tblPrEx>
        <w:trPr>
          <w:trHeight w:val="765" w:hRule="atLeast"/>
        </w:trPr>
        <w:tc>
          <w:tcPr>
            <w:tcW w:w="740" w:type="dxa"/>
            <w:vMerge w:val="continue"/>
            <w:tcBorders>
              <w:top w:val="nil"/>
              <w:left w:val="single" w:color="auto" w:sz="4" w:space="0"/>
              <w:bottom w:val="single" w:color="000000" w:sz="4" w:space="0"/>
              <w:right w:val="single" w:color="auto" w:sz="4" w:space="0"/>
            </w:tcBorders>
            <w:vAlign w:val="center"/>
          </w:tcPr>
          <w:p w14:paraId="79E71F42">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14:paraId="36D5780B">
            <w:pPr>
              <w:widowControl/>
              <w:jc w:val="left"/>
              <w:rPr>
                <w:rFonts w:ascii="宋体" w:hAnsi="宋体" w:cs="宋体"/>
                <w:kern w:val="0"/>
                <w:sz w:val="22"/>
                <w:szCs w:val="22"/>
              </w:rPr>
            </w:pPr>
          </w:p>
        </w:tc>
        <w:tc>
          <w:tcPr>
            <w:tcW w:w="700" w:type="dxa"/>
            <w:tcBorders>
              <w:top w:val="nil"/>
              <w:left w:val="nil"/>
              <w:bottom w:val="single" w:color="auto" w:sz="4" w:space="0"/>
              <w:right w:val="single" w:color="auto" w:sz="4" w:space="0"/>
            </w:tcBorders>
            <w:shd w:val="clear" w:color="auto" w:fill="auto"/>
            <w:vAlign w:val="center"/>
          </w:tcPr>
          <w:p w14:paraId="600DB964">
            <w:pPr>
              <w:widowControl/>
              <w:jc w:val="center"/>
              <w:rPr>
                <w:rFonts w:ascii="宋体" w:hAnsi="宋体" w:cs="宋体"/>
                <w:kern w:val="0"/>
                <w:sz w:val="22"/>
                <w:szCs w:val="22"/>
              </w:rPr>
            </w:pPr>
            <w:r>
              <w:rPr>
                <w:rFonts w:hint="eastAsia" w:ascii="宋体" w:hAnsi="宋体" w:cs="宋体"/>
                <w:kern w:val="0"/>
                <w:sz w:val="22"/>
                <w:szCs w:val="22"/>
              </w:rPr>
              <w:t>生态效益</w:t>
            </w:r>
            <w:r>
              <w:rPr>
                <w:rFonts w:hint="eastAsia" w:ascii="宋体" w:hAnsi="宋体" w:cs="宋体"/>
                <w:kern w:val="0"/>
                <w:sz w:val="22"/>
                <w:szCs w:val="22"/>
              </w:rPr>
              <w:br w:type="textWrapping"/>
            </w:r>
            <w:r>
              <w:rPr>
                <w:rFonts w:hint="eastAsia" w:ascii="宋体" w:hAnsi="宋体" w:cs="宋体"/>
                <w:kern w:val="0"/>
                <w:sz w:val="22"/>
                <w:szCs w:val="22"/>
              </w:rPr>
              <w:t>指标</w:t>
            </w:r>
          </w:p>
        </w:tc>
        <w:tc>
          <w:tcPr>
            <w:tcW w:w="2340" w:type="dxa"/>
            <w:tcBorders>
              <w:top w:val="nil"/>
              <w:left w:val="nil"/>
              <w:bottom w:val="single" w:color="auto" w:sz="4" w:space="0"/>
              <w:right w:val="single" w:color="auto" w:sz="4" w:space="0"/>
            </w:tcBorders>
            <w:shd w:val="clear" w:color="auto" w:fill="auto"/>
            <w:vAlign w:val="center"/>
          </w:tcPr>
          <w:p w14:paraId="7A23ED70">
            <w:pPr>
              <w:widowControl/>
              <w:jc w:val="left"/>
              <w:rPr>
                <w:rFonts w:ascii="宋体" w:hAnsi="宋体" w:cs="宋体"/>
                <w:kern w:val="0"/>
                <w:sz w:val="22"/>
                <w:szCs w:val="22"/>
              </w:rPr>
            </w:pPr>
            <w:r>
              <w:rPr>
                <w:rFonts w:hint="eastAsia" w:ascii="宋体" w:hAnsi="宋体" w:cs="宋体"/>
                <w:kern w:val="0"/>
                <w:sz w:val="22"/>
                <w:szCs w:val="22"/>
              </w:rPr>
              <w:t>提升工业领域节能减排管理水平</w:t>
            </w:r>
          </w:p>
        </w:tc>
        <w:tc>
          <w:tcPr>
            <w:tcW w:w="1360" w:type="dxa"/>
            <w:tcBorders>
              <w:top w:val="nil"/>
              <w:left w:val="nil"/>
              <w:bottom w:val="single" w:color="auto" w:sz="4" w:space="0"/>
              <w:right w:val="single" w:color="auto" w:sz="4" w:space="0"/>
            </w:tcBorders>
            <w:shd w:val="clear" w:color="auto" w:fill="auto"/>
            <w:vAlign w:val="center"/>
          </w:tcPr>
          <w:p w14:paraId="2CCD8716">
            <w:pPr>
              <w:widowControl/>
              <w:jc w:val="left"/>
              <w:rPr>
                <w:rFonts w:ascii="宋体" w:hAnsi="宋体" w:cs="宋体"/>
                <w:kern w:val="0"/>
                <w:sz w:val="22"/>
                <w:szCs w:val="22"/>
              </w:rPr>
            </w:pPr>
            <w:r>
              <w:rPr>
                <w:rFonts w:hint="eastAsia" w:ascii="宋体" w:hAnsi="宋体" w:cs="宋体"/>
                <w:kern w:val="0"/>
                <w:sz w:val="22"/>
                <w:szCs w:val="22"/>
              </w:rPr>
              <w:t>持续低碳节能</w:t>
            </w:r>
          </w:p>
        </w:tc>
        <w:tc>
          <w:tcPr>
            <w:tcW w:w="840" w:type="dxa"/>
            <w:tcBorders>
              <w:top w:val="nil"/>
              <w:left w:val="nil"/>
              <w:bottom w:val="single" w:color="auto" w:sz="4" w:space="0"/>
              <w:right w:val="single" w:color="auto" w:sz="4" w:space="0"/>
            </w:tcBorders>
            <w:shd w:val="clear" w:color="auto" w:fill="auto"/>
            <w:vAlign w:val="center"/>
          </w:tcPr>
          <w:p w14:paraId="606BDAF3">
            <w:pPr>
              <w:widowControl/>
              <w:jc w:val="left"/>
              <w:rPr>
                <w:rFonts w:ascii="宋体" w:hAnsi="宋体" w:cs="宋体"/>
                <w:kern w:val="0"/>
                <w:sz w:val="22"/>
                <w:szCs w:val="22"/>
              </w:rPr>
            </w:pPr>
            <w:r>
              <w:rPr>
                <w:rFonts w:hint="eastAsia" w:ascii="宋体" w:hAnsi="宋体" w:cs="宋体"/>
                <w:kern w:val="0"/>
                <w:sz w:val="22"/>
                <w:szCs w:val="22"/>
              </w:rPr>
              <w:t>已完成</w:t>
            </w:r>
          </w:p>
        </w:tc>
        <w:tc>
          <w:tcPr>
            <w:tcW w:w="1300" w:type="dxa"/>
            <w:tcBorders>
              <w:top w:val="nil"/>
              <w:left w:val="nil"/>
              <w:bottom w:val="single" w:color="auto" w:sz="4" w:space="0"/>
              <w:right w:val="single" w:color="auto" w:sz="4" w:space="0"/>
            </w:tcBorders>
            <w:shd w:val="clear" w:color="auto" w:fill="auto"/>
            <w:vAlign w:val="center"/>
          </w:tcPr>
          <w:p w14:paraId="7D656B2C">
            <w:pPr>
              <w:widowControl/>
              <w:jc w:val="center"/>
              <w:rPr>
                <w:rFonts w:ascii="宋体" w:hAnsi="宋体" w:cs="宋体"/>
                <w:kern w:val="0"/>
                <w:sz w:val="22"/>
                <w:szCs w:val="22"/>
              </w:rPr>
            </w:pPr>
            <w:r>
              <w:rPr>
                <w:rFonts w:hint="eastAsia" w:ascii="宋体" w:hAnsi="宋体" w:cs="宋体"/>
                <w:kern w:val="0"/>
                <w:sz w:val="22"/>
                <w:szCs w:val="22"/>
              </w:rPr>
              <w:t>100%</w:t>
            </w:r>
          </w:p>
        </w:tc>
        <w:tc>
          <w:tcPr>
            <w:tcW w:w="1120" w:type="dxa"/>
            <w:tcBorders>
              <w:top w:val="nil"/>
              <w:left w:val="nil"/>
              <w:bottom w:val="single" w:color="auto" w:sz="4" w:space="0"/>
              <w:right w:val="single" w:color="auto" w:sz="4" w:space="0"/>
            </w:tcBorders>
            <w:shd w:val="clear" w:color="auto" w:fill="auto"/>
            <w:vAlign w:val="center"/>
          </w:tcPr>
          <w:p w14:paraId="01972C66">
            <w:pPr>
              <w:widowControl/>
              <w:jc w:val="left"/>
              <w:rPr>
                <w:rFonts w:ascii="宋体" w:hAnsi="宋体" w:cs="宋体"/>
                <w:kern w:val="0"/>
                <w:sz w:val="22"/>
                <w:szCs w:val="22"/>
              </w:rPr>
            </w:pPr>
            <w:r>
              <w:rPr>
                <w:rFonts w:hint="eastAsia" w:ascii="宋体" w:hAnsi="宋体" w:cs="宋体"/>
                <w:kern w:val="0"/>
                <w:sz w:val="22"/>
                <w:szCs w:val="22"/>
              </w:rPr>
              <w:t>　</w:t>
            </w:r>
          </w:p>
        </w:tc>
      </w:tr>
      <w:tr w14:paraId="1BC596B0">
        <w:tblPrEx>
          <w:tblCellMar>
            <w:top w:w="0" w:type="dxa"/>
            <w:left w:w="108" w:type="dxa"/>
            <w:bottom w:w="0" w:type="dxa"/>
            <w:right w:w="108" w:type="dxa"/>
          </w:tblCellMar>
        </w:tblPrEx>
        <w:trPr>
          <w:trHeight w:val="765" w:hRule="atLeast"/>
        </w:trPr>
        <w:tc>
          <w:tcPr>
            <w:tcW w:w="740" w:type="dxa"/>
            <w:vMerge w:val="continue"/>
            <w:tcBorders>
              <w:top w:val="nil"/>
              <w:left w:val="single" w:color="auto" w:sz="4" w:space="0"/>
              <w:bottom w:val="single" w:color="000000" w:sz="4" w:space="0"/>
              <w:right w:val="single" w:color="auto" w:sz="4" w:space="0"/>
            </w:tcBorders>
            <w:vAlign w:val="center"/>
          </w:tcPr>
          <w:p w14:paraId="1087AF41">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14:paraId="683E1C91">
            <w:pPr>
              <w:widowControl/>
              <w:jc w:val="left"/>
              <w:rPr>
                <w:rFonts w:ascii="宋体" w:hAnsi="宋体" w:cs="宋体"/>
                <w:kern w:val="0"/>
                <w:sz w:val="22"/>
                <w:szCs w:val="22"/>
              </w:rPr>
            </w:pPr>
          </w:p>
        </w:tc>
        <w:tc>
          <w:tcPr>
            <w:tcW w:w="700" w:type="dxa"/>
            <w:tcBorders>
              <w:top w:val="nil"/>
              <w:left w:val="nil"/>
              <w:bottom w:val="single" w:color="auto" w:sz="4" w:space="0"/>
              <w:right w:val="single" w:color="auto" w:sz="4" w:space="0"/>
            </w:tcBorders>
            <w:shd w:val="clear" w:color="auto" w:fill="auto"/>
            <w:vAlign w:val="center"/>
          </w:tcPr>
          <w:p w14:paraId="5CC10031">
            <w:pPr>
              <w:widowControl/>
              <w:jc w:val="center"/>
              <w:rPr>
                <w:rFonts w:ascii="宋体" w:hAnsi="宋体" w:cs="宋体"/>
                <w:kern w:val="0"/>
                <w:sz w:val="22"/>
                <w:szCs w:val="22"/>
              </w:rPr>
            </w:pPr>
            <w:r>
              <w:rPr>
                <w:rFonts w:hint="eastAsia" w:ascii="宋体" w:hAnsi="宋体" w:cs="宋体"/>
                <w:kern w:val="0"/>
                <w:sz w:val="22"/>
                <w:szCs w:val="22"/>
              </w:rPr>
              <w:t>可持续影响</w:t>
            </w:r>
            <w:r>
              <w:rPr>
                <w:rFonts w:hint="eastAsia" w:ascii="宋体" w:hAnsi="宋体" w:cs="宋体"/>
                <w:kern w:val="0"/>
                <w:sz w:val="22"/>
                <w:szCs w:val="22"/>
              </w:rPr>
              <w:br w:type="textWrapping"/>
            </w:r>
            <w:r>
              <w:rPr>
                <w:rFonts w:hint="eastAsia" w:ascii="宋体" w:hAnsi="宋体" w:cs="宋体"/>
                <w:kern w:val="0"/>
                <w:sz w:val="22"/>
                <w:szCs w:val="22"/>
              </w:rPr>
              <w:t>指标</w:t>
            </w:r>
          </w:p>
        </w:tc>
        <w:tc>
          <w:tcPr>
            <w:tcW w:w="2340" w:type="dxa"/>
            <w:tcBorders>
              <w:top w:val="nil"/>
              <w:left w:val="nil"/>
              <w:bottom w:val="single" w:color="auto" w:sz="4" w:space="0"/>
              <w:right w:val="single" w:color="auto" w:sz="4" w:space="0"/>
            </w:tcBorders>
            <w:shd w:val="clear" w:color="auto" w:fill="auto"/>
            <w:vAlign w:val="center"/>
          </w:tcPr>
          <w:p w14:paraId="1A93462E">
            <w:pPr>
              <w:widowControl/>
              <w:jc w:val="left"/>
              <w:rPr>
                <w:rFonts w:ascii="宋体" w:hAnsi="宋体" w:cs="宋体"/>
                <w:kern w:val="0"/>
                <w:sz w:val="22"/>
                <w:szCs w:val="22"/>
              </w:rPr>
            </w:pPr>
            <w:r>
              <w:rPr>
                <w:rFonts w:hint="eastAsia" w:ascii="宋体" w:hAnsi="宋体" w:cs="宋体"/>
                <w:kern w:val="0"/>
                <w:sz w:val="22"/>
                <w:szCs w:val="22"/>
              </w:rPr>
              <w:t>调动争取资金的积极性</w:t>
            </w:r>
          </w:p>
        </w:tc>
        <w:tc>
          <w:tcPr>
            <w:tcW w:w="1360" w:type="dxa"/>
            <w:tcBorders>
              <w:top w:val="nil"/>
              <w:left w:val="nil"/>
              <w:bottom w:val="single" w:color="auto" w:sz="4" w:space="0"/>
              <w:right w:val="single" w:color="auto" w:sz="4" w:space="0"/>
            </w:tcBorders>
            <w:shd w:val="clear" w:color="auto" w:fill="auto"/>
            <w:vAlign w:val="center"/>
          </w:tcPr>
          <w:p w14:paraId="33EE5840">
            <w:pPr>
              <w:widowControl/>
              <w:jc w:val="left"/>
              <w:rPr>
                <w:rFonts w:ascii="宋体" w:hAnsi="宋体" w:cs="宋体"/>
                <w:kern w:val="0"/>
                <w:sz w:val="22"/>
                <w:szCs w:val="22"/>
              </w:rPr>
            </w:pPr>
            <w:r>
              <w:rPr>
                <w:rFonts w:hint="eastAsia" w:ascii="宋体" w:hAnsi="宋体" w:cs="宋体"/>
                <w:kern w:val="0"/>
                <w:sz w:val="22"/>
                <w:szCs w:val="22"/>
              </w:rPr>
              <w:t>调动争取资金的积极性</w:t>
            </w:r>
          </w:p>
        </w:tc>
        <w:tc>
          <w:tcPr>
            <w:tcW w:w="840" w:type="dxa"/>
            <w:tcBorders>
              <w:top w:val="nil"/>
              <w:left w:val="nil"/>
              <w:bottom w:val="single" w:color="auto" w:sz="4" w:space="0"/>
              <w:right w:val="single" w:color="auto" w:sz="4" w:space="0"/>
            </w:tcBorders>
            <w:shd w:val="clear" w:color="auto" w:fill="auto"/>
            <w:vAlign w:val="center"/>
          </w:tcPr>
          <w:p w14:paraId="097A6902">
            <w:pPr>
              <w:widowControl/>
              <w:jc w:val="left"/>
              <w:rPr>
                <w:rFonts w:ascii="宋体" w:hAnsi="宋体" w:cs="宋体"/>
                <w:kern w:val="0"/>
                <w:sz w:val="22"/>
                <w:szCs w:val="22"/>
              </w:rPr>
            </w:pPr>
            <w:r>
              <w:rPr>
                <w:rFonts w:hint="eastAsia" w:ascii="宋体" w:hAnsi="宋体" w:cs="宋体"/>
                <w:kern w:val="0"/>
                <w:sz w:val="22"/>
                <w:szCs w:val="22"/>
              </w:rPr>
              <w:t>已完成</w:t>
            </w:r>
          </w:p>
        </w:tc>
        <w:tc>
          <w:tcPr>
            <w:tcW w:w="1300" w:type="dxa"/>
            <w:tcBorders>
              <w:top w:val="nil"/>
              <w:left w:val="nil"/>
              <w:bottom w:val="single" w:color="auto" w:sz="4" w:space="0"/>
              <w:right w:val="single" w:color="auto" w:sz="4" w:space="0"/>
            </w:tcBorders>
            <w:shd w:val="clear" w:color="auto" w:fill="auto"/>
            <w:vAlign w:val="center"/>
          </w:tcPr>
          <w:p w14:paraId="1DB62CA4">
            <w:pPr>
              <w:widowControl/>
              <w:jc w:val="center"/>
              <w:rPr>
                <w:rFonts w:ascii="宋体" w:hAnsi="宋体" w:cs="宋体"/>
                <w:kern w:val="0"/>
                <w:sz w:val="22"/>
                <w:szCs w:val="22"/>
              </w:rPr>
            </w:pPr>
            <w:r>
              <w:rPr>
                <w:rFonts w:hint="eastAsia" w:ascii="宋体" w:hAnsi="宋体" w:cs="宋体"/>
                <w:kern w:val="0"/>
                <w:sz w:val="22"/>
                <w:szCs w:val="22"/>
              </w:rPr>
              <w:t>100%</w:t>
            </w:r>
          </w:p>
        </w:tc>
        <w:tc>
          <w:tcPr>
            <w:tcW w:w="1120" w:type="dxa"/>
            <w:tcBorders>
              <w:top w:val="nil"/>
              <w:left w:val="nil"/>
              <w:bottom w:val="single" w:color="auto" w:sz="4" w:space="0"/>
              <w:right w:val="single" w:color="auto" w:sz="4" w:space="0"/>
            </w:tcBorders>
            <w:shd w:val="clear" w:color="auto" w:fill="auto"/>
            <w:vAlign w:val="center"/>
          </w:tcPr>
          <w:p w14:paraId="0574A6E6">
            <w:pPr>
              <w:widowControl/>
              <w:jc w:val="left"/>
              <w:rPr>
                <w:rFonts w:ascii="宋体" w:hAnsi="宋体" w:cs="宋体"/>
                <w:kern w:val="0"/>
                <w:sz w:val="22"/>
                <w:szCs w:val="22"/>
              </w:rPr>
            </w:pPr>
            <w:r>
              <w:rPr>
                <w:rFonts w:hint="eastAsia" w:ascii="宋体" w:hAnsi="宋体" w:cs="宋体"/>
                <w:kern w:val="0"/>
                <w:sz w:val="22"/>
                <w:szCs w:val="22"/>
              </w:rPr>
              <w:t>　</w:t>
            </w:r>
          </w:p>
        </w:tc>
      </w:tr>
      <w:tr w14:paraId="050E3B35">
        <w:tblPrEx>
          <w:tblCellMar>
            <w:top w:w="0" w:type="dxa"/>
            <w:left w:w="108" w:type="dxa"/>
            <w:bottom w:w="0" w:type="dxa"/>
            <w:right w:w="108" w:type="dxa"/>
          </w:tblCellMar>
        </w:tblPrEx>
        <w:trPr>
          <w:trHeight w:val="765" w:hRule="atLeast"/>
        </w:trPr>
        <w:tc>
          <w:tcPr>
            <w:tcW w:w="740" w:type="dxa"/>
            <w:vMerge w:val="continue"/>
            <w:tcBorders>
              <w:top w:val="nil"/>
              <w:left w:val="single" w:color="auto" w:sz="4" w:space="0"/>
              <w:bottom w:val="single" w:color="000000" w:sz="4" w:space="0"/>
              <w:right w:val="single" w:color="auto" w:sz="4" w:space="0"/>
            </w:tcBorders>
            <w:vAlign w:val="center"/>
          </w:tcPr>
          <w:p w14:paraId="4969270E">
            <w:pPr>
              <w:widowControl/>
              <w:jc w:val="left"/>
              <w:rPr>
                <w:rFonts w:ascii="宋体" w:hAnsi="宋体" w:cs="宋体"/>
                <w:kern w:val="0"/>
                <w:sz w:val="22"/>
                <w:szCs w:val="22"/>
              </w:rPr>
            </w:pPr>
          </w:p>
        </w:tc>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264A2F32">
            <w:pPr>
              <w:widowControl/>
              <w:jc w:val="center"/>
              <w:rPr>
                <w:rFonts w:ascii="宋体" w:hAnsi="宋体" w:cs="宋体"/>
                <w:kern w:val="0"/>
                <w:sz w:val="22"/>
                <w:szCs w:val="22"/>
              </w:rPr>
            </w:pPr>
            <w:r>
              <w:rPr>
                <w:rFonts w:hint="eastAsia" w:ascii="宋体" w:hAnsi="宋体" w:cs="宋体"/>
                <w:kern w:val="0"/>
                <w:sz w:val="22"/>
                <w:szCs w:val="22"/>
              </w:rPr>
              <w:t>满意度指标</w:t>
            </w:r>
          </w:p>
        </w:tc>
        <w:tc>
          <w:tcPr>
            <w:tcW w:w="700" w:type="dxa"/>
            <w:vMerge w:val="restart"/>
            <w:tcBorders>
              <w:top w:val="nil"/>
              <w:left w:val="single" w:color="auto" w:sz="4" w:space="0"/>
              <w:bottom w:val="single" w:color="000000" w:sz="4" w:space="0"/>
              <w:right w:val="single" w:color="auto" w:sz="4" w:space="0"/>
            </w:tcBorders>
            <w:shd w:val="clear" w:color="auto" w:fill="auto"/>
            <w:vAlign w:val="center"/>
          </w:tcPr>
          <w:p w14:paraId="46986CDD">
            <w:pPr>
              <w:widowControl/>
              <w:jc w:val="center"/>
              <w:rPr>
                <w:rFonts w:ascii="宋体" w:hAnsi="宋体" w:cs="宋体"/>
                <w:kern w:val="0"/>
                <w:sz w:val="22"/>
                <w:szCs w:val="22"/>
              </w:rPr>
            </w:pPr>
            <w:r>
              <w:rPr>
                <w:rFonts w:hint="eastAsia" w:ascii="宋体" w:hAnsi="宋体" w:cs="宋体"/>
                <w:kern w:val="0"/>
                <w:sz w:val="22"/>
                <w:szCs w:val="22"/>
              </w:rPr>
              <w:t>满意度指标</w:t>
            </w:r>
          </w:p>
        </w:tc>
        <w:tc>
          <w:tcPr>
            <w:tcW w:w="2340" w:type="dxa"/>
            <w:tcBorders>
              <w:top w:val="nil"/>
              <w:left w:val="nil"/>
              <w:bottom w:val="single" w:color="auto" w:sz="4" w:space="0"/>
              <w:right w:val="single" w:color="auto" w:sz="4" w:space="0"/>
            </w:tcBorders>
            <w:shd w:val="clear" w:color="auto" w:fill="auto"/>
            <w:vAlign w:val="center"/>
          </w:tcPr>
          <w:p w14:paraId="33B7E121">
            <w:pPr>
              <w:widowControl/>
              <w:jc w:val="left"/>
              <w:rPr>
                <w:rFonts w:ascii="宋体" w:hAnsi="宋体" w:cs="宋体"/>
                <w:kern w:val="0"/>
                <w:sz w:val="22"/>
                <w:szCs w:val="22"/>
              </w:rPr>
            </w:pPr>
            <w:r>
              <w:rPr>
                <w:rFonts w:hint="eastAsia" w:ascii="宋体" w:hAnsi="宋体" w:cs="宋体"/>
                <w:kern w:val="0"/>
                <w:sz w:val="22"/>
                <w:szCs w:val="22"/>
              </w:rPr>
              <w:t>上级部门满意度</w:t>
            </w:r>
          </w:p>
        </w:tc>
        <w:tc>
          <w:tcPr>
            <w:tcW w:w="1360" w:type="dxa"/>
            <w:tcBorders>
              <w:top w:val="nil"/>
              <w:left w:val="nil"/>
              <w:bottom w:val="single" w:color="auto" w:sz="4" w:space="0"/>
              <w:right w:val="single" w:color="auto" w:sz="4" w:space="0"/>
            </w:tcBorders>
            <w:shd w:val="clear" w:color="auto" w:fill="auto"/>
            <w:vAlign w:val="center"/>
          </w:tcPr>
          <w:p w14:paraId="61B0D963">
            <w:pPr>
              <w:widowControl/>
              <w:jc w:val="left"/>
              <w:rPr>
                <w:rFonts w:ascii="宋体" w:hAnsi="宋体" w:cs="宋体"/>
                <w:kern w:val="0"/>
                <w:sz w:val="22"/>
                <w:szCs w:val="22"/>
              </w:rPr>
            </w:pPr>
            <w:r>
              <w:rPr>
                <w:rFonts w:hint="eastAsia" w:ascii="宋体" w:hAnsi="宋体" w:cs="宋体"/>
                <w:kern w:val="0"/>
                <w:sz w:val="22"/>
                <w:szCs w:val="22"/>
              </w:rPr>
              <w:t>≥95%</w:t>
            </w:r>
          </w:p>
        </w:tc>
        <w:tc>
          <w:tcPr>
            <w:tcW w:w="840" w:type="dxa"/>
            <w:tcBorders>
              <w:top w:val="nil"/>
              <w:left w:val="nil"/>
              <w:bottom w:val="single" w:color="auto" w:sz="4" w:space="0"/>
              <w:right w:val="single" w:color="auto" w:sz="4" w:space="0"/>
            </w:tcBorders>
            <w:shd w:val="clear" w:color="auto" w:fill="auto"/>
            <w:vAlign w:val="center"/>
          </w:tcPr>
          <w:p w14:paraId="31400704">
            <w:pPr>
              <w:widowControl/>
              <w:jc w:val="left"/>
              <w:rPr>
                <w:rFonts w:ascii="宋体" w:hAnsi="宋体" w:cs="宋体"/>
                <w:kern w:val="0"/>
                <w:sz w:val="22"/>
                <w:szCs w:val="22"/>
              </w:rPr>
            </w:pPr>
            <w:r>
              <w:rPr>
                <w:rFonts w:hint="eastAsia" w:ascii="宋体" w:hAnsi="宋体" w:cs="宋体"/>
                <w:kern w:val="0"/>
                <w:sz w:val="22"/>
                <w:szCs w:val="22"/>
              </w:rPr>
              <w:t>满意</w:t>
            </w:r>
          </w:p>
        </w:tc>
        <w:tc>
          <w:tcPr>
            <w:tcW w:w="1300" w:type="dxa"/>
            <w:tcBorders>
              <w:top w:val="nil"/>
              <w:left w:val="nil"/>
              <w:bottom w:val="single" w:color="auto" w:sz="4" w:space="0"/>
              <w:right w:val="single" w:color="auto" w:sz="4" w:space="0"/>
            </w:tcBorders>
            <w:shd w:val="clear" w:color="auto" w:fill="auto"/>
            <w:vAlign w:val="center"/>
          </w:tcPr>
          <w:p w14:paraId="70C4D512">
            <w:pPr>
              <w:widowControl/>
              <w:jc w:val="center"/>
              <w:rPr>
                <w:rFonts w:ascii="宋体" w:hAnsi="宋体" w:cs="宋体"/>
                <w:kern w:val="0"/>
                <w:sz w:val="22"/>
                <w:szCs w:val="22"/>
              </w:rPr>
            </w:pPr>
            <w:r>
              <w:rPr>
                <w:rFonts w:hint="eastAsia" w:ascii="宋体" w:hAnsi="宋体" w:cs="宋体"/>
                <w:kern w:val="0"/>
                <w:sz w:val="22"/>
                <w:szCs w:val="22"/>
              </w:rPr>
              <w:t>100%</w:t>
            </w:r>
          </w:p>
        </w:tc>
        <w:tc>
          <w:tcPr>
            <w:tcW w:w="1120" w:type="dxa"/>
            <w:tcBorders>
              <w:top w:val="nil"/>
              <w:left w:val="nil"/>
              <w:bottom w:val="single" w:color="auto" w:sz="4" w:space="0"/>
              <w:right w:val="single" w:color="auto" w:sz="4" w:space="0"/>
            </w:tcBorders>
            <w:shd w:val="clear" w:color="auto" w:fill="auto"/>
            <w:vAlign w:val="center"/>
          </w:tcPr>
          <w:p w14:paraId="6CEC869F">
            <w:pPr>
              <w:widowControl/>
              <w:jc w:val="left"/>
              <w:rPr>
                <w:rFonts w:ascii="宋体" w:hAnsi="宋体" w:cs="宋体"/>
                <w:kern w:val="0"/>
                <w:sz w:val="22"/>
                <w:szCs w:val="22"/>
              </w:rPr>
            </w:pPr>
            <w:r>
              <w:rPr>
                <w:rFonts w:hint="eastAsia" w:ascii="宋体" w:hAnsi="宋体" w:cs="宋体"/>
                <w:kern w:val="0"/>
                <w:sz w:val="22"/>
                <w:szCs w:val="22"/>
              </w:rPr>
              <w:t>　</w:t>
            </w:r>
          </w:p>
        </w:tc>
      </w:tr>
      <w:tr w14:paraId="0EEA8B75">
        <w:tblPrEx>
          <w:tblCellMar>
            <w:top w:w="0" w:type="dxa"/>
            <w:left w:w="108" w:type="dxa"/>
            <w:bottom w:w="0" w:type="dxa"/>
            <w:right w:w="108" w:type="dxa"/>
          </w:tblCellMar>
        </w:tblPrEx>
        <w:trPr>
          <w:trHeight w:val="765" w:hRule="atLeast"/>
        </w:trPr>
        <w:tc>
          <w:tcPr>
            <w:tcW w:w="740" w:type="dxa"/>
            <w:vMerge w:val="continue"/>
            <w:tcBorders>
              <w:top w:val="nil"/>
              <w:left w:val="single" w:color="auto" w:sz="4" w:space="0"/>
              <w:bottom w:val="single" w:color="000000" w:sz="4" w:space="0"/>
              <w:right w:val="single" w:color="auto" w:sz="4" w:space="0"/>
            </w:tcBorders>
            <w:vAlign w:val="center"/>
          </w:tcPr>
          <w:p w14:paraId="0228DE23">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14:paraId="3CB446DB">
            <w:pPr>
              <w:widowControl/>
              <w:jc w:val="left"/>
              <w:rPr>
                <w:rFonts w:ascii="宋体" w:hAnsi="宋体" w:cs="宋体"/>
                <w:kern w:val="0"/>
                <w:sz w:val="22"/>
                <w:szCs w:val="22"/>
              </w:rPr>
            </w:pPr>
          </w:p>
        </w:tc>
        <w:tc>
          <w:tcPr>
            <w:tcW w:w="700" w:type="dxa"/>
            <w:vMerge w:val="continue"/>
            <w:tcBorders>
              <w:top w:val="nil"/>
              <w:left w:val="single" w:color="auto" w:sz="4" w:space="0"/>
              <w:bottom w:val="single" w:color="000000" w:sz="4" w:space="0"/>
              <w:right w:val="single" w:color="auto" w:sz="4" w:space="0"/>
            </w:tcBorders>
            <w:vAlign w:val="center"/>
          </w:tcPr>
          <w:p w14:paraId="6F6E1B3B">
            <w:pPr>
              <w:widowControl/>
              <w:jc w:val="left"/>
              <w:rPr>
                <w:rFonts w:ascii="宋体" w:hAnsi="宋体" w:cs="宋体"/>
                <w:kern w:val="0"/>
                <w:sz w:val="22"/>
                <w:szCs w:val="22"/>
              </w:rPr>
            </w:pPr>
          </w:p>
        </w:tc>
        <w:tc>
          <w:tcPr>
            <w:tcW w:w="2340" w:type="dxa"/>
            <w:tcBorders>
              <w:top w:val="nil"/>
              <w:left w:val="nil"/>
              <w:bottom w:val="single" w:color="auto" w:sz="4" w:space="0"/>
              <w:right w:val="single" w:color="auto" w:sz="4" w:space="0"/>
            </w:tcBorders>
            <w:shd w:val="clear" w:color="auto" w:fill="auto"/>
            <w:vAlign w:val="center"/>
          </w:tcPr>
          <w:p w14:paraId="04A9AEAE">
            <w:pPr>
              <w:widowControl/>
              <w:jc w:val="left"/>
              <w:rPr>
                <w:rFonts w:ascii="宋体" w:hAnsi="宋体" w:cs="宋体"/>
                <w:kern w:val="0"/>
                <w:sz w:val="22"/>
                <w:szCs w:val="22"/>
              </w:rPr>
            </w:pPr>
            <w:r>
              <w:rPr>
                <w:rFonts w:hint="eastAsia" w:ascii="宋体" w:hAnsi="宋体" w:cs="宋体"/>
                <w:kern w:val="0"/>
                <w:sz w:val="22"/>
                <w:szCs w:val="22"/>
              </w:rPr>
              <w:t>接受资金项目满意度</w:t>
            </w:r>
          </w:p>
        </w:tc>
        <w:tc>
          <w:tcPr>
            <w:tcW w:w="1360" w:type="dxa"/>
            <w:tcBorders>
              <w:top w:val="nil"/>
              <w:left w:val="nil"/>
              <w:bottom w:val="single" w:color="auto" w:sz="4" w:space="0"/>
              <w:right w:val="single" w:color="auto" w:sz="4" w:space="0"/>
            </w:tcBorders>
            <w:shd w:val="clear" w:color="auto" w:fill="auto"/>
            <w:vAlign w:val="center"/>
          </w:tcPr>
          <w:p w14:paraId="6939775B">
            <w:pPr>
              <w:widowControl/>
              <w:jc w:val="left"/>
              <w:rPr>
                <w:rFonts w:ascii="宋体" w:hAnsi="宋体" w:cs="宋体"/>
                <w:kern w:val="0"/>
                <w:sz w:val="22"/>
                <w:szCs w:val="22"/>
              </w:rPr>
            </w:pPr>
            <w:r>
              <w:rPr>
                <w:rFonts w:hint="eastAsia" w:ascii="宋体" w:hAnsi="宋体" w:cs="宋体"/>
                <w:kern w:val="0"/>
                <w:sz w:val="22"/>
                <w:szCs w:val="22"/>
              </w:rPr>
              <w:t>≥95%</w:t>
            </w:r>
          </w:p>
        </w:tc>
        <w:tc>
          <w:tcPr>
            <w:tcW w:w="840" w:type="dxa"/>
            <w:tcBorders>
              <w:top w:val="nil"/>
              <w:left w:val="nil"/>
              <w:bottom w:val="single" w:color="auto" w:sz="4" w:space="0"/>
              <w:right w:val="single" w:color="auto" w:sz="4" w:space="0"/>
            </w:tcBorders>
            <w:shd w:val="clear" w:color="auto" w:fill="auto"/>
            <w:vAlign w:val="center"/>
          </w:tcPr>
          <w:p w14:paraId="554FA977">
            <w:pPr>
              <w:widowControl/>
              <w:jc w:val="left"/>
              <w:rPr>
                <w:rFonts w:ascii="宋体" w:hAnsi="宋体" w:cs="宋体"/>
                <w:kern w:val="0"/>
                <w:sz w:val="22"/>
                <w:szCs w:val="22"/>
              </w:rPr>
            </w:pPr>
            <w:r>
              <w:rPr>
                <w:rFonts w:hint="eastAsia" w:ascii="宋体" w:hAnsi="宋体" w:cs="宋体"/>
                <w:kern w:val="0"/>
                <w:sz w:val="22"/>
                <w:szCs w:val="22"/>
              </w:rPr>
              <w:t>满意</w:t>
            </w:r>
          </w:p>
        </w:tc>
        <w:tc>
          <w:tcPr>
            <w:tcW w:w="1300" w:type="dxa"/>
            <w:tcBorders>
              <w:top w:val="nil"/>
              <w:left w:val="nil"/>
              <w:bottom w:val="single" w:color="auto" w:sz="4" w:space="0"/>
              <w:right w:val="single" w:color="auto" w:sz="4" w:space="0"/>
            </w:tcBorders>
            <w:shd w:val="clear" w:color="auto" w:fill="auto"/>
            <w:vAlign w:val="center"/>
          </w:tcPr>
          <w:p w14:paraId="24B2C464">
            <w:pPr>
              <w:widowControl/>
              <w:jc w:val="center"/>
              <w:rPr>
                <w:rFonts w:ascii="宋体" w:hAnsi="宋体" w:cs="宋体"/>
                <w:kern w:val="0"/>
                <w:sz w:val="22"/>
                <w:szCs w:val="22"/>
              </w:rPr>
            </w:pPr>
            <w:r>
              <w:rPr>
                <w:rFonts w:hint="eastAsia" w:ascii="宋体" w:hAnsi="宋体" w:cs="宋体"/>
                <w:kern w:val="0"/>
                <w:sz w:val="22"/>
                <w:szCs w:val="22"/>
              </w:rPr>
              <w:t>100%</w:t>
            </w:r>
          </w:p>
        </w:tc>
        <w:tc>
          <w:tcPr>
            <w:tcW w:w="1120" w:type="dxa"/>
            <w:tcBorders>
              <w:top w:val="nil"/>
              <w:left w:val="nil"/>
              <w:bottom w:val="single" w:color="auto" w:sz="4" w:space="0"/>
              <w:right w:val="single" w:color="auto" w:sz="4" w:space="0"/>
            </w:tcBorders>
            <w:shd w:val="clear" w:color="auto" w:fill="auto"/>
            <w:vAlign w:val="center"/>
          </w:tcPr>
          <w:p w14:paraId="10EA93E4">
            <w:pPr>
              <w:widowControl/>
              <w:jc w:val="left"/>
              <w:rPr>
                <w:rFonts w:ascii="宋体" w:hAnsi="宋体" w:cs="宋体"/>
                <w:kern w:val="0"/>
                <w:sz w:val="22"/>
                <w:szCs w:val="22"/>
              </w:rPr>
            </w:pPr>
            <w:r>
              <w:rPr>
                <w:rFonts w:hint="eastAsia" w:ascii="宋体" w:hAnsi="宋体" w:cs="宋体"/>
                <w:kern w:val="0"/>
                <w:sz w:val="22"/>
                <w:szCs w:val="22"/>
              </w:rPr>
              <w:t>　</w:t>
            </w:r>
          </w:p>
        </w:tc>
      </w:tr>
    </w:tbl>
    <w:p w14:paraId="057B9CC1">
      <w:pPr>
        <w:pStyle w:val="2"/>
        <w:spacing w:before="93"/>
        <w:rPr>
          <w:rFonts w:hint="eastAsia"/>
        </w:rPr>
      </w:pPr>
    </w:p>
    <w:tbl>
      <w:tblPr>
        <w:tblStyle w:val="13"/>
        <w:tblW w:w="9040" w:type="dxa"/>
        <w:tblInd w:w="93" w:type="dxa"/>
        <w:tblLayout w:type="autofit"/>
        <w:tblCellMar>
          <w:top w:w="0" w:type="dxa"/>
          <w:left w:w="108" w:type="dxa"/>
          <w:bottom w:w="0" w:type="dxa"/>
          <w:right w:w="108" w:type="dxa"/>
        </w:tblCellMar>
      </w:tblPr>
      <w:tblGrid>
        <w:gridCol w:w="740"/>
        <w:gridCol w:w="740"/>
        <w:gridCol w:w="900"/>
        <w:gridCol w:w="2500"/>
        <w:gridCol w:w="1280"/>
        <w:gridCol w:w="1000"/>
        <w:gridCol w:w="1060"/>
        <w:gridCol w:w="820"/>
      </w:tblGrid>
      <w:tr w14:paraId="2CE51EC9">
        <w:tblPrEx>
          <w:tblCellMar>
            <w:top w:w="0" w:type="dxa"/>
            <w:left w:w="108" w:type="dxa"/>
            <w:bottom w:w="0" w:type="dxa"/>
            <w:right w:w="108" w:type="dxa"/>
          </w:tblCellMar>
        </w:tblPrEx>
        <w:trPr>
          <w:trHeight w:val="540" w:hRule="atLeast"/>
        </w:trPr>
        <w:tc>
          <w:tcPr>
            <w:tcW w:w="9040" w:type="dxa"/>
            <w:gridSpan w:val="8"/>
            <w:tcBorders>
              <w:top w:val="nil"/>
              <w:left w:val="nil"/>
              <w:bottom w:val="nil"/>
              <w:right w:val="nil"/>
            </w:tcBorders>
            <w:shd w:val="clear" w:color="auto" w:fill="auto"/>
            <w:vAlign w:val="center"/>
          </w:tcPr>
          <w:p w14:paraId="07A2EDCA">
            <w:pPr>
              <w:widowControl/>
              <w:jc w:val="center"/>
              <w:rPr>
                <w:rFonts w:ascii="宋体" w:hAnsi="宋体" w:cs="宋体"/>
                <w:b/>
                <w:bCs/>
                <w:kern w:val="0"/>
                <w:sz w:val="32"/>
                <w:szCs w:val="32"/>
              </w:rPr>
            </w:pPr>
            <w:r>
              <w:rPr>
                <w:rFonts w:hint="eastAsia" w:ascii="宋体" w:hAnsi="宋体" w:cs="宋体"/>
                <w:b/>
                <w:bCs/>
                <w:kern w:val="0"/>
                <w:sz w:val="32"/>
                <w:szCs w:val="32"/>
              </w:rPr>
              <w:t>专项（项目）资金绩效自评表</w:t>
            </w:r>
          </w:p>
        </w:tc>
      </w:tr>
      <w:tr w14:paraId="13433262">
        <w:tblPrEx>
          <w:tblCellMar>
            <w:top w:w="0" w:type="dxa"/>
            <w:left w:w="108" w:type="dxa"/>
            <w:bottom w:w="0" w:type="dxa"/>
            <w:right w:w="108" w:type="dxa"/>
          </w:tblCellMar>
        </w:tblPrEx>
        <w:trPr>
          <w:trHeight w:val="285" w:hRule="atLeast"/>
        </w:trPr>
        <w:tc>
          <w:tcPr>
            <w:tcW w:w="9040" w:type="dxa"/>
            <w:gridSpan w:val="8"/>
            <w:tcBorders>
              <w:top w:val="nil"/>
              <w:left w:val="nil"/>
              <w:bottom w:val="nil"/>
              <w:right w:val="nil"/>
            </w:tcBorders>
            <w:shd w:val="clear" w:color="auto" w:fill="auto"/>
            <w:vAlign w:val="center"/>
          </w:tcPr>
          <w:p w14:paraId="6ECABB1F">
            <w:pPr>
              <w:widowControl/>
              <w:jc w:val="center"/>
              <w:rPr>
                <w:rFonts w:ascii="宋体" w:hAnsi="宋体" w:cs="宋体"/>
                <w:kern w:val="0"/>
                <w:sz w:val="24"/>
              </w:rPr>
            </w:pPr>
            <w:r>
              <w:rPr>
                <w:rFonts w:hint="eastAsia" w:ascii="宋体" w:hAnsi="宋体" w:cs="宋体"/>
                <w:kern w:val="0"/>
                <w:sz w:val="24"/>
              </w:rPr>
              <w:t>（</w:t>
            </w:r>
            <w:r>
              <w:rPr>
                <w:kern w:val="0"/>
                <w:sz w:val="24"/>
              </w:rPr>
              <w:t>2021</w:t>
            </w:r>
            <w:r>
              <w:rPr>
                <w:rFonts w:hint="eastAsia" w:ascii="宋体" w:hAnsi="宋体" w:cs="宋体"/>
                <w:kern w:val="0"/>
                <w:sz w:val="24"/>
              </w:rPr>
              <w:t>年度）</w:t>
            </w:r>
          </w:p>
        </w:tc>
      </w:tr>
      <w:tr w14:paraId="7301E5B4">
        <w:tblPrEx>
          <w:tblCellMar>
            <w:top w:w="0" w:type="dxa"/>
            <w:left w:w="108" w:type="dxa"/>
            <w:bottom w:w="0" w:type="dxa"/>
            <w:right w:w="108" w:type="dxa"/>
          </w:tblCellMar>
        </w:tblPrEx>
        <w:trPr>
          <w:trHeight w:val="439" w:hRule="atLeast"/>
        </w:trPr>
        <w:tc>
          <w:tcPr>
            <w:tcW w:w="23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0D004C">
            <w:pPr>
              <w:widowControl/>
              <w:jc w:val="center"/>
              <w:rPr>
                <w:rFonts w:ascii="宋体" w:hAnsi="宋体" w:cs="宋体"/>
                <w:kern w:val="0"/>
                <w:sz w:val="18"/>
                <w:szCs w:val="18"/>
              </w:rPr>
            </w:pPr>
            <w:r>
              <w:rPr>
                <w:rFonts w:hint="eastAsia" w:ascii="宋体" w:hAnsi="宋体" w:cs="宋体"/>
                <w:kern w:val="0"/>
                <w:sz w:val="18"/>
                <w:szCs w:val="18"/>
              </w:rPr>
              <w:t>专项（项目）名称</w:t>
            </w:r>
          </w:p>
        </w:tc>
        <w:tc>
          <w:tcPr>
            <w:tcW w:w="6660" w:type="dxa"/>
            <w:gridSpan w:val="5"/>
            <w:tcBorders>
              <w:top w:val="single" w:color="auto" w:sz="4" w:space="0"/>
              <w:left w:val="nil"/>
              <w:bottom w:val="single" w:color="auto" w:sz="4" w:space="0"/>
              <w:right w:val="single" w:color="auto" w:sz="4" w:space="0"/>
            </w:tcBorders>
            <w:shd w:val="clear" w:color="auto" w:fill="auto"/>
            <w:vAlign w:val="center"/>
          </w:tcPr>
          <w:p w14:paraId="3B548A17">
            <w:pPr>
              <w:widowControl/>
              <w:jc w:val="center"/>
              <w:rPr>
                <w:rFonts w:ascii="宋体" w:hAnsi="宋体" w:cs="宋体"/>
                <w:kern w:val="0"/>
                <w:sz w:val="18"/>
                <w:szCs w:val="18"/>
              </w:rPr>
            </w:pPr>
            <w:r>
              <w:rPr>
                <w:rFonts w:hint="eastAsia" w:ascii="宋体" w:hAnsi="宋体" w:cs="宋体"/>
                <w:kern w:val="0"/>
                <w:sz w:val="18"/>
                <w:szCs w:val="18"/>
              </w:rPr>
              <w:t>业务运行费</w:t>
            </w:r>
          </w:p>
        </w:tc>
      </w:tr>
      <w:tr w14:paraId="6D0CF62D">
        <w:tblPrEx>
          <w:tblCellMar>
            <w:top w:w="0" w:type="dxa"/>
            <w:left w:w="108" w:type="dxa"/>
            <w:bottom w:w="0" w:type="dxa"/>
            <w:right w:w="108" w:type="dxa"/>
          </w:tblCellMar>
        </w:tblPrEx>
        <w:trPr>
          <w:trHeight w:val="439" w:hRule="atLeast"/>
        </w:trPr>
        <w:tc>
          <w:tcPr>
            <w:tcW w:w="23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5172FC9">
            <w:pPr>
              <w:widowControl/>
              <w:jc w:val="center"/>
              <w:rPr>
                <w:rFonts w:ascii="宋体" w:hAnsi="宋体" w:cs="宋体"/>
                <w:kern w:val="0"/>
                <w:sz w:val="18"/>
                <w:szCs w:val="18"/>
              </w:rPr>
            </w:pPr>
            <w:r>
              <w:rPr>
                <w:rFonts w:hint="eastAsia" w:ascii="宋体" w:hAnsi="宋体" w:cs="宋体"/>
                <w:kern w:val="0"/>
                <w:sz w:val="18"/>
                <w:szCs w:val="18"/>
              </w:rPr>
              <w:t>项目主管单位</w:t>
            </w:r>
          </w:p>
        </w:tc>
        <w:tc>
          <w:tcPr>
            <w:tcW w:w="6660" w:type="dxa"/>
            <w:gridSpan w:val="5"/>
            <w:tcBorders>
              <w:top w:val="single" w:color="auto" w:sz="4" w:space="0"/>
              <w:left w:val="nil"/>
              <w:bottom w:val="single" w:color="auto" w:sz="4" w:space="0"/>
              <w:right w:val="single" w:color="auto" w:sz="4" w:space="0"/>
            </w:tcBorders>
            <w:shd w:val="clear" w:color="auto" w:fill="auto"/>
            <w:vAlign w:val="center"/>
          </w:tcPr>
          <w:p w14:paraId="14B27422">
            <w:pPr>
              <w:widowControl/>
              <w:jc w:val="center"/>
              <w:rPr>
                <w:rFonts w:ascii="宋体" w:hAnsi="宋体" w:cs="宋体"/>
                <w:kern w:val="0"/>
                <w:sz w:val="18"/>
                <w:szCs w:val="18"/>
              </w:rPr>
            </w:pPr>
            <w:r>
              <w:rPr>
                <w:rFonts w:hint="eastAsia" w:ascii="宋体" w:hAnsi="宋体" w:cs="宋体"/>
                <w:kern w:val="0"/>
                <w:sz w:val="18"/>
                <w:szCs w:val="18"/>
              </w:rPr>
              <w:t>市经济和信息化局</w:t>
            </w:r>
          </w:p>
        </w:tc>
      </w:tr>
      <w:tr w14:paraId="33D658C7">
        <w:tblPrEx>
          <w:tblCellMar>
            <w:top w:w="0" w:type="dxa"/>
            <w:left w:w="108" w:type="dxa"/>
            <w:bottom w:w="0" w:type="dxa"/>
            <w:right w:w="108" w:type="dxa"/>
          </w:tblCellMar>
        </w:tblPrEx>
        <w:trPr>
          <w:trHeight w:val="439" w:hRule="atLeast"/>
        </w:trPr>
        <w:tc>
          <w:tcPr>
            <w:tcW w:w="23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09FE627A">
            <w:pPr>
              <w:widowControl/>
              <w:jc w:val="center"/>
              <w:rPr>
                <w:rFonts w:ascii="宋体" w:hAnsi="宋体" w:cs="宋体"/>
                <w:kern w:val="0"/>
                <w:sz w:val="18"/>
                <w:szCs w:val="18"/>
              </w:rPr>
            </w:pPr>
            <w:r>
              <w:rPr>
                <w:rFonts w:hint="eastAsia" w:ascii="宋体" w:hAnsi="宋体" w:cs="宋体"/>
                <w:kern w:val="0"/>
                <w:sz w:val="18"/>
                <w:szCs w:val="18"/>
              </w:rPr>
              <w:t>项目实施单位</w:t>
            </w:r>
          </w:p>
        </w:tc>
        <w:tc>
          <w:tcPr>
            <w:tcW w:w="6660" w:type="dxa"/>
            <w:gridSpan w:val="5"/>
            <w:tcBorders>
              <w:top w:val="single" w:color="auto" w:sz="4" w:space="0"/>
              <w:left w:val="nil"/>
              <w:bottom w:val="single" w:color="auto" w:sz="4" w:space="0"/>
              <w:right w:val="single" w:color="000000" w:sz="4" w:space="0"/>
            </w:tcBorders>
            <w:shd w:val="clear" w:color="auto" w:fill="auto"/>
            <w:vAlign w:val="center"/>
          </w:tcPr>
          <w:p w14:paraId="0296DE9C">
            <w:pPr>
              <w:widowControl/>
              <w:jc w:val="center"/>
              <w:rPr>
                <w:rFonts w:ascii="宋体" w:hAnsi="宋体" w:cs="宋体"/>
                <w:kern w:val="0"/>
                <w:sz w:val="18"/>
                <w:szCs w:val="18"/>
              </w:rPr>
            </w:pPr>
            <w:r>
              <w:rPr>
                <w:rFonts w:hint="eastAsia" w:ascii="宋体" w:hAnsi="宋体" w:cs="宋体"/>
                <w:kern w:val="0"/>
                <w:sz w:val="18"/>
                <w:szCs w:val="18"/>
              </w:rPr>
              <w:t>市经济和信息化局</w:t>
            </w:r>
          </w:p>
        </w:tc>
      </w:tr>
      <w:tr w14:paraId="314E5152">
        <w:tblPrEx>
          <w:tblCellMar>
            <w:top w:w="0" w:type="dxa"/>
            <w:left w:w="108" w:type="dxa"/>
            <w:bottom w:w="0" w:type="dxa"/>
            <w:right w:w="108" w:type="dxa"/>
          </w:tblCellMar>
        </w:tblPrEx>
        <w:trPr>
          <w:trHeight w:val="439" w:hRule="atLeast"/>
        </w:trPr>
        <w:tc>
          <w:tcPr>
            <w:tcW w:w="238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4269F7">
            <w:pPr>
              <w:widowControl/>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500" w:type="dxa"/>
            <w:tcBorders>
              <w:top w:val="nil"/>
              <w:left w:val="nil"/>
              <w:bottom w:val="single" w:color="auto" w:sz="4" w:space="0"/>
              <w:right w:val="single" w:color="auto" w:sz="4" w:space="0"/>
            </w:tcBorders>
            <w:shd w:val="clear" w:color="auto" w:fill="auto"/>
            <w:vAlign w:val="center"/>
          </w:tcPr>
          <w:p w14:paraId="568138B5">
            <w:pPr>
              <w:widowControl/>
              <w:jc w:val="center"/>
              <w:rPr>
                <w:rFonts w:ascii="宋体" w:hAnsi="宋体" w:cs="宋体"/>
                <w:kern w:val="0"/>
                <w:sz w:val="18"/>
                <w:szCs w:val="18"/>
              </w:rPr>
            </w:pPr>
            <w:r>
              <w:rPr>
                <w:rFonts w:hint="eastAsia" w:ascii="宋体" w:hAnsi="宋体" w:cs="宋体"/>
                <w:kern w:val="0"/>
                <w:sz w:val="18"/>
                <w:szCs w:val="18"/>
              </w:rPr>
              <w:t>　</w:t>
            </w:r>
          </w:p>
        </w:tc>
        <w:tc>
          <w:tcPr>
            <w:tcW w:w="1280" w:type="dxa"/>
            <w:tcBorders>
              <w:top w:val="nil"/>
              <w:left w:val="nil"/>
              <w:bottom w:val="single" w:color="auto" w:sz="4" w:space="0"/>
              <w:right w:val="single" w:color="auto" w:sz="4" w:space="0"/>
            </w:tcBorders>
            <w:shd w:val="clear" w:color="auto" w:fill="auto"/>
            <w:vAlign w:val="center"/>
          </w:tcPr>
          <w:p w14:paraId="35E30E04">
            <w:pPr>
              <w:widowControl/>
              <w:jc w:val="center"/>
              <w:rPr>
                <w:rFonts w:ascii="宋体" w:hAnsi="宋体" w:cs="宋体"/>
                <w:kern w:val="0"/>
                <w:sz w:val="18"/>
                <w:szCs w:val="18"/>
              </w:rPr>
            </w:pPr>
            <w:r>
              <w:rPr>
                <w:rFonts w:hint="eastAsia" w:ascii="宋体" w:hAnsi="宋体" w:cs="宋体"/>
                <w:kern w:val="0"/>
                <w:sz w:val="18"/>
                <w:szCs w:val="18"/>
              </w:rPr>
              <w:t>全年预算数</w:t>
            </w:r>
          </w:p>
        </w:tc>
        <w:tc>
          <w:tcPr>
            <w:tcW w:w="1000" w:type="dxa"/>
            <w:tcBorders>
              <w:top w:val="nil"/>
              <w:left w:val="nil"/>
              <w:bottom w:val="single" w:color="auto" w:sz="4" w:space="0"/>
              <w:right w:val="single" w:color="auto" w:sz="4" w:space="0"/>
            </w:tcBorders>
            <w:shd w:val="clear" w:color="auto" w:fill="auto"/>
            <w:vAlign w:val="center"/>
          </w:tcPr>
          <w:p w14:paraId="47F9C74F">
            <w:pPr>
              <w:widowControl/>
              <w:jc w:val="center"/>
              <w:rPr>
                <w:rFonts w:ascii="宋体" w:hAnsi="宋体" w:cs="宋体"/>
                <w:kern w:val="0"/>
                <w:sz w:val="18"/>
                <w:szCs w:val="18"/>
              </w:rPr>
            </w:pPr>
            <w:r>
              <w:rPr>
                <w:rFonts w:hint="eastAsia" w:ascii="宋体" w:hAnsi="宋体" w:cs="宋体"/>
                <w:kern w:val="0"/>
                <w:sz w:val="18"/>
                <w:szCs w:val="18"/>
              </w:rPr>
              <w:t>实际完成数</w:t>
            </w:r>
          </w:p>
        </w:tc>
        <w:tc>
          <w:tcPr>
            <w:tcW w:w="1880" w:type="dxa"/>
            <w:gridSpan w:val="2"/>
            <w:tcBorders>
              <w:top w:val="single" w:color="auto" w:sz="4" w:space="0"/>
              <w:left w:val="nil"/>
              <w:bottom w:val="single" w:color="auto" w:sz="4" w:space="0"/>
              <w:right w:val="single" w:color="000000" w:sz="4" w:space="0"/>
            </w:tcBorders>
            <w:shd w:val="clear" w:color="auto" w:fill="auto"/>
            <w:vAlign w:val="center"/>
          </w:tcPr>
          <w:p w14:paraId="17F15602">
            <w:pPr>
              <w:widowControl/>
              <w:jc w:val="center"/>
              <w:rPr>
                <w:rFonts w:ascii="宋体" w:hAnsi="宋体" w:cs="宋体"/>
                <w:kern w:val="0"/>
                <w:sz w:val="18"/>
                <w:szCs w:val="18"/>
              </w:rPr>
            </w:pPr>
            <w:r>
              <w:rPr>
                <w:rFonts w:hint="eastAsia" w:ascii="宋体" w:hAnsi="宋体" w:cs="宋体"/>
                <w:kern w:val="0"/>
                <w:sz w:val="18"/>
                <w:szCs w:val="18"/>
              </w:rPr>
              <w:t>执行率（%）</w:t>
            </w:r>
          </w:p>
        </w:tc>
      </w:tr>
      <w:tr w14:paraId="6873AC43">
        <w:tblPrEx>
          <w:tblCellMar>
            <w:top w:w="0" w:type="dxa"/>
            <w:left w:w="108" w:type="dxa"/>
            <w:bottom w:w="0" w:type="dxa"/>
            <w:right w:w="108" w:type="dxa"/>
          </w:tblCellMar>
        </w:tblPrEx>
        <w:trPr>
          <w:trHeight w:val="439" w:hRule="atLeast"/>
        </w:trPr>
        <w:tc>
          <w:tcPr>
            <w:tcW w:w="2380" w:type="dxa"/>
            <w:gridSpan w:val="3"/>
            <w:vMerge w:val="continue"/>
            <w:tcBorders>
              <w:top w:val="single" w:color="auto" w:sz="4" w:space="0"/>
              <w:left w:val="single" w:color="auto" w:sz="4" w:space="0"/>
              <w:bottom w:val="single" w:color="auto" w:sz="4" w:space="0"/>
              <w:right w:val="single" w:color="auto" w:sz="4" w:space="0"/>
            </w:tcBorders>
            <w:vAlign w:val="center"/>
          </w:tcPr>
          <w:p w14:paraId="352EDA70">
            <w:pPr>
              <w:widowControl/>
              <w:jc w:val="left"/>
              <w:rPr>
                <w:rFonts w:ascii="宋体" w:hAnsi="宋体" w:cs="宋体"/>
                <w:kern w:val="0"/>
                <w:sz w:val="18"/>
                <w:szCs w:val="18"/>
              </w:rPr>
            </w:pPr>
          </w:p>
        </w:tc>
        <w:tc>
          <w:tcPr>
            <w:tcW w:w="2500" w:type="dxa"/>
            <w:tcBorders>
              <w:top w:val="nil"/>
              <w:left w:val="nil"/>
              <w:bottom w:val="single" w:color="auto" w:sz="4" w:space="0"/>
              <w:right w:val="single" w:color="auto" w:sz="4" w:space="0"/>
            </w:tcBorders>
            <w:shd w:val="clear" w:color="auto" w:fill="auto"/>
            <w:vAlign w:val="center"/>
          </w:tcPr>
          <w:p w14:paraId="5EF5255F">
            <w:pPr>
              <w:widowControl/>
              <w:jc w:val="left"/>
              <w:rPr>
                <w:rFonts w:ascii="宋体" w:hAnsi="宋体" w:cs="宋体"/>
                <w:kern w:val="0"/>
                <w:sz w:val="18"/>
                <w:szCs w:val="18"/>
              </w:rPr>
            </w:pPr>
            <w:r>
              <w:rPr>
                <w:rFonts w:hint="eastAsia" w:ascii="宋体" w:hAnsi="宋体" w:cs="宋体"/>
                <w:kern w:val="0"/>
                <w:sz w:val="18"/>
                <w:szCs w:val="18"/>
              </w:rPr>
              <w:t xml:space="preserve"> 年度资金总额：</w:t>
            </w:r>
          </w:p>
        </w:tc>
        <w:tc>
          <w:tcPr>
            <w:tcW w:w="1280" w:type="dxa"/>
            <w:tcBorders>
              <w:top w:val="nil"/>
              <w:left w:val="nil"/>
              <w:bottom w:val="single" w:color="auto" w:sz="4" w:space="0"/>
              <w:right w:val="single" w:color="auto" w:sz="4" w:space="0"/>
            </w:tcBorders>
            <w:shd w:val="clear" w:color="auto" w:fill="auto"/>
            <w:vAlign w:val="center"/>
          </w:tcPr>
          <w:p w14:paraId="5CE4E77B">
            <w:pPr>
              <w:widowControl/>
              <w:jc w:val="center"/>
              <w:rPr>
                <w:rFonts w:ascii="宋体" w:hAnsi="宋体" w:cs="宋体"/>
                <w:kern w:val="0"/>
                <w:sz w:val="18"/>
                <w:szCs w:val="18"/>
              </w:rPr>
            </w:pPr>
            <w:r>
              <w:rPr>
                <w:rFonts w:hint="eastAsia" w:ascii="宋体" w:hAnsi="宋体" w:cs="宋体"/>
                <w:kern w:val="0"/>
                <w:sz w:val="18"/>
                <w:szCs w:val="18"/>
              </w:rPr>
              <w:t>10</w:t>
            </w:r>
          </w:p>
        </w:tc>
        <w:tc>
          <w:tcPr>
            <w:tcW w:w="1000" w:type="dxa"/>
            <w:tcBorders>
              <w:top w:val="nil"/>
              <w:left w:val="nil"/>
              <w:bottom w:val="single" w:color="auto" w:sz="4" w:space="0"/>
              <w:right w:val="single" w:color="auto" w:sz="4" w:space="0"/>
            </w:tcBorders>
            <w:shd w:val="clear" w:color="auto" w:fill="auto"/>
            <w:vAlign w:val="center"/>
          </w:tcPr>
          <w:p w14:paraId="2E1FBDA6">
            <w:pPr>
              <w:widowControl/>
              <w:jc w:val="center"/>
              <w:rPr>
                <w:rFonts w:ascii="宋体" w:hAnsi="宋体" w:cs="宋体"/>
                <w:kern w:val="0"/>
                <w:sz w:val="18"/>
                <w:szCs w:val="18"/>
              </w:rPr>
            </w:pPr>
            <w:r>
              <w:rPr>
                <w:rFonts w:hint="eastAsia" w:ascii="宋体" w:hAnsi="宋体" w:cs="宋体"/>
                <w:kern w:val="0"/>
                <w:sz w:val="18"/>
                <w:szCs w:val="18"/>
              </w:rPr>
              <w:t>10</w:t>
            </w:r>
          </w:p>
        </w:tc>
        <w:tc>
          <w:tcPr>
            <w:tcW w:w="1880" w:type="dxa"/>
            <w:gridSpan w:val="2"/>
            <w:tcBorders>
              <w:top w:val="single" w:color="auto" w:sz="4" w:space="0"/>
              <w:left w:val="nil"/>
              <w:bottom w:val="single" w:color="auto" w:sz="4" w:space="0"/>
              <w:right w:val="single" w:color="000000" w:sz="4" w:space="0"/>
            </w:tcBorders>
            <w:shd w:val="clear" w:color="auto" w:fill="auto"/>
            <w:vAlign w:val="center"/>
          </w:tcPr>
          <w:p w14:paraId="5D730525">
            <w:pPr>
              <w:widowControl/>
              <w:jc w:val="center"/>
              <w:rPr>
                <w:rFonts w:ascii="宋体" w:hAnsi="宋体" w:cs="宋体"/>
                <w:kern w:val="0"/>
                <w:sz w:val="18"/>
                <w:szCs w:val="18"/>
              </w:rPr>
            </w:pPr>
            <w:r>
              <w:rPr>
                <w:rFonts w:hint="eastAsia" w:ascii="宋体" w:hAnsi="宋体" w:cs="宋体"/>
                <w:kern w:val="0"/>
                <w:sz w:val="18"/>
                <w:szCs w:val="18"/>
              </w:rPr>
              <w:t>100%</w:t>
            </w:r>
          </w:p>
        </w:tc>
      </w:tr>
      <w:tr w14:paraId="40CFC164">
        <w:tblPrEx>
          <w:tblCellMar>
            <w:top w:w="0" w:type="dxa"/>
            <w:left w:w="108" w:type="dxa"/>
            <w:bottom w:w="0" w:type="dxa"/>
            <w:right w:w="108" w:type="dxa"/>
          </w:tblCellMar>
        </w:tblPrEx>
        <w:trPr>
          <w:trHeight w:val="439" w:hRule="atLeast"/>
        </w:trPr>
        <w:tc>
          <w:tcPr>
            <w:tcW w:w="2380" w:type="dxa"/>
            <w:gridSpan w:val="3"/>
            <w:vMerge w:val="continue"/>
            <w:tcBorders>
              <w:top w:val="single" w:color="auto" w:sz="4" w:space="0"/>
              <w:left w:val="single" w:color="auto" w:sz="4" w:space="0"/>
              <w:bottom w:val="single" w:color="auto" w:sz="4" w:space="0"/>
              <w:right w:val="single" w:color="auto" w:sz="4" w:space="0"/>
            </w:tcBorders>
            <w:vAlign w:val="center"/>
          </w:tcPr>
          <w:p w14:paraId="7AA8AC86">
            <w:pPr>
              <w:widowControl/>
              <w:jc w:val="left"/>
              <w:rPr>
                <w:rFonts w:ascii="宋体" w:hAnsi="宋体" w:cs="宋体"/>
                <w:kern w:val="0"/>
                <w:sz w:val="18"/>
                <w:szCs w:val="18"/>
              </w:rPr>
            </w:pPr>
          </w:p>
        </w:tc>
        <w:tc>
          <w:tcPr>
            <w:tcW w:w="2500" w:type="dxa"/>
            <w:tcBorders>
              <w:top w:val="nil"/>
              <w:left w:val="nil"/>
              <w:bottom w:val="single" w:color="auto" w:sz="4" w:space="0"/>
              <w:right w:val="single" w:color="auto" w:sz="4" w:space="0"/>
            </w:tcBorders>
            <w:shd w:val="clear" w:color="auto" w:fill="auto"/>
            <w:vAlign w:val="center"/>
          </w:tcPr>
          <w:p w14:paraId="12ABBAD8">
            <w:pPr>
              <w:widowControl/>
              <w:jc w:val="left"/>
              <w:rPr>
                <w:rFonts w:ascii="宋体" w:hAnsi="宋体" w:cs="宋体"/>
                <w:kern w:val="0"/>
                <w:sz w:val="18"/>
                <w:szCs w:val="18"/>
              </w:rPr>
            </w:pPr>
            <w:r>
              <w:rPr>
                <w:rFonts w:hint="eastAsia" w:ascii="宋体" w:hAnsi="宋体" w:cs="宋体"/>
                <w:kern w:val="0"/>
                <w:sz w:val="18"/>
                <w:szCs w:val="18"/>
              </w:rPr>
              <w:t xml:space="preserve">   其中：上级财政资金</w:t>
            </w:r>
          </w:p>
        </w:tc>
        <w:tc>
          <w:tcPr>
            <w:tcW w:w="1280" w:type="dxa"/>
            <w:tcBorders>
              <w:top w:val="nil"/>
              <w:left w:val="nil"/>
              <w:bottom w:val="single" w:color="auto" w:sz="4" w:space="0"/>
              <w:right w:val="single" w:color="auto" w:sz="4" w:space="0"/>
            </w:tcBorders>
            <w:shd w:val="clear" w:color="auto" w:fill="auto"/>
            <w:vAlign w:val="center"/>
          </w:tcPr>
          <w:p w14:paraId="1D7DEB35">
            <w:pPr>
              <w:widowControl/>
              <w:jc w:val="center"/>
              <w:rPr>
                <w:rFonts w:ascii="宋体" w:hAnsi="宋体" w:cs="宋体"/>
                <w:kern w:val="0"/>
                <w:sz w:val="18"/>
                <w:szCs w:val="18"/>
              </w:rPr>
            </w:pPr>
            <w:r>
              <w:rPr>
                <w:rFonts w:hint="eastAsia" w:ascii="宋体" w:hAnsi="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center"/>
          </w:tcPr>
          <w:p w14:paraId="578D808E">
            <w:pPr>
              <w:widowControl/>
              <w:jc w:val="center"/>
              <w:rPr>
                <w:rFonts w:ascii="宋体" w:hAnsi="宋体" w:cs="宋体"/>
                <w:kern w:val="0"/>
                <w:sz w:val="18"/>
                <w:szCs w:val="18"/>
              </w:rPr>
            </w:pPr>
            <w:r>
              <w:rPr>
                <w:rFonts w:hint="eastAsia" w:ascii="宋体" w:hAnsi="宋体" w:cs="宋体"/>
                <w:kern w:val="0"/>
                <w:sz w:val="18"/>
                <w:szCs w:val="18"/>
              </w:rPr>
              <w:t>　</w:t>
            </w:r>
          </w:p>
        </w:tc>
        <w:tc>
          <w:tcPr>
            <w:tcW w:w="1880" w:type="dxa"/>
            <w:gridSpan w:val="2"/>
            <w:tcBorders>
              <w:top w:val="single" w:color="auto" w:sz="4" w:space="0"/>
              <w:left w:val="nil"/>
              <w:bottom w:val="single" w:color="auto" w:sz="4" w:space="0"/>
              <w:right w:val="single" w:color="000000" w:sz="4" w:space="0"/>
            </w:tcBorders>
            <w:shd w:val="clear" w:color="auto" w:fill="auto"/>
            <w:vAlign w:val="center"/>
          </w:tcPr>
          <w:p w14:paraId="23C49C3B">
            <w:pPr>
              <w:widowControl/>
              <w:jc w:val="center"/>
              <w:rPr>
                <w:rFonts w:ascii="宋体" w:hAnsi="宋体" w:cs="宋体"/>
                <w:kern w:val="0"/>
                <w:sz w:val="18"/>
                <w:szCs w:val="18"/>
              </w:rPr>
            </w:pPr>
            <w:r>
              <w:rPr>
                <w:rFonts w:hint="eastAsia" w:ascii="宋体" w:hAnsi="宋体" w:cs="宋体"/>
                <w:kern w:val="0"/>
                <w:sz w:val="18"/>
                <w:szCs w:val="18"/>
              </w:rPr>
              <w:t>　</w:t>
            </w:r>
          </w:p>
        </w:tc>
      </w:tr>
      <w:tr w14:paraId="674928F8">
        <w:tblPrEx>
          <w:tblCellMar>
            <w:top w:w="0" w:type="dxa"/>
            <w:left w:w="108" w:type="dxa"/>
            <w:bottom w:w="0" w:type="dxa"/>
            <w:right w:w="108" w:type="dxa"/>
          </w:tblCellMar>
        </w:tblPrEx>
        <w:trPr>
          <w:trHeight w:val="439" w:hRule="atLeast"/>
        </w:trPr>
        <w:tc>
          <w:tcPr>
            <w:tcW w:w="2380" w:type="dxa"/>
            <w:gridSpan w:val="3"/>
            <w:vMerge w:val="continue"/>
            <w:tcBorders>
              <w:top w:val="single" w:color="auto" w:sz="4" w:space="0"/>
              <w:left w:val="single" w:color="auto" w:sz="4" w:space="0"/>
              <w:bottom w:val="single" w:color="auto" w:sz="4" w:space="0"/>
              <w:right w:val="single" w:color="auto" w:sz="4" w:space="0"/>
            </w:tcBorders>
            <w:vAlign w:val="center"/>
          </w:tcPr>
          <w:p w14:paraId="5C271B83">
            <w:pPr>
              <w:widowControl/>
              <w:jc w:val="left"/>
              <w:rPr>
                <w:rFonts w:ascii="宋体" w:hAnsi="宋体" w:cs="宋体"/>
                <w:kern w:val="0"/>
                <w:sz w:val="18"/>
                <w:szCs w:val="18"/>
              </w:rPr>
            </w:pPr>
          </w:p>
        </w:tc>
        <w:tc>
          <w:tcPr>
            <w:tcW w:w="2500" w:type="dxa"/>
            <w:tcBorders>
              <w:top w:val="nil"/>
              <w:left w:val="nil"/>
              <w:bottom w:val="single" w:color="auto" w:sz="4" w:space="0"/>
              <w:right w:val="single" w:color="auto" w:sz="4" w:space="0"/>
            </w:tcBorders>
            <w:shd w:val="clear" w:color="auto" w:fill="auto"/>
            <w:vAlign w:val="center"/>
          </w:tcPr>
          <w:p w14:paraId="241177CB">
            <w:pPr>
              <w:widowControl/>
              <w:jc w:val="left"/>
              <w:rPr>
                <w:rFonts w:ascii="宋体" w:hAnsi="宋体" w:cs="宋体"/>
                <w:kern w:val="0"/>
                <w:sz w:val="18"/>
                <w:szCs w:val="18"/>
              </w:rPr>
            </w:pPr>
            <w:r>
              <w:rPr>
                <w:rFonts w:hint="eastAsia" w:ascii="宋体" w:hAnsi="宋体" w:cs="宋体"/>
                <w:kern w:val="0"/>
                <w:sz w:val="18"/>
                <w:szCs w:val="18"/>
              </w:rPr>
              <w:t xml:space="preserve">         本级财政资金</w:t>
            </w:r>
          </w:p>
        </w:tc>
        <w:tc>
          <w:tcPr>
            <w:tcW w:w="1280" w:type="dxa"/>
            <w:tcBorders>
              <w:top w:val="nil"/>
              <w:left w:val="nil"/>
              <w:bottom w:val="single" w:color="auto" w:sz="4" w:space="0"/>
              <w:right w:val="single" w:color="auto" w:sz="4" w:space="0"/>
            </w:tcBorders>
            <w:shd w:val="clear" w:color="auto" w:fill="auto"/>
            <w:vAlign w:val="center"/>
          </w:tcPr>
          <w:p w14:paraId="71E504A3">
            <w:pPr>
              <w:widowControl/>
              <w:jc w:val="center"/>
              <w:rPr>
                <w:rFonts w:ascii="宋体" w:hAnsi="宋体" w:cs="宋体"/>
                <w:kern w:val="0"/>
                <w:sz w:val="18"/>
                <w:szCs w:val="18"/>
              </w:rPr>
            </w:pPr>
            <w:r>
              <w:rPr>
                <w:rFonts w:hint="eastAsia" w:ascii="宋体" w:hAnsi="宋体" w:cs="宋体"/>
                <w:kern w:val="0"/>
                <w:sz w:val="18"/>
                <w:szCs w:val="18"/>
              </w:rPr>
              <w:t>10</w:t>
            </w:r>
          </w:p>
        </w:tc>
        <w:tc>
          <w:tcPr>
            <w:tcW w:w="1000" w:type="dxa"/>
            <w:tcBorders>
              <w:top w:val="nil"/>
              <w:left w:val="nil"/>
              <w:bottom w:val="single" w:color="auto" w:sz="4" w:space="0"/>
              <w:right w:val="single" w:color="auto" w:sz="4" w:space="0"/>
            </w:tcBorders>
            <w:shd w:val="clear" w:color="auto" w:fill="auto"/>
            <w:vAlign w:val="center"/>
          </w:tcPr>
          <w:p w14:paraId="004C03BB">
            <w:pPr>
              <w:widowControl/>
              <w:jc w:val="center"/>
              <w:rPr>
                <w:rFonts w:ascii="宋体" w:hAnsi="宋体" w:cs="宋体"/>
                <w:kern w:val="0"/>
                <w:sz w:val="18"/>
                <w:szCs w:val="18"/>
              </w:rPr>
            </w:pPr>
            <w:r>
              <w:rPr>
                <w:rFonts w:hint="eastAsia" w:ascii="宋体" w:hAnsi="宋体" w:cs="宋体"/>
                <w:kern w:val="0"/>
                <w:sz w:val="18"/>
                <w:szCs w:val="18"/>
              </w:rPr>
              <w:t>10</w:t>
            </w:r>
          </w:p>
        </w:tc>
        <w:tc>
          <w:tcPr>
            <w:tcW w:w="1880" w:type="dxa"/>
            <w:gridSpan w:val="2"/>
            <w:tcBorders>
              <w:top w:val="single" w:color="auto" w:sz="4" w:space="0"/>
              <w:left w:val="nil"/>
              <w:bottom w:val="single" w:color="auto" w:sz="4" w:space="0"/>
              <w:right w:val="single" w:color="000000" w:sz="4" w:space="0"/>
            </w:tcBorders>
            <w:shd w:val="clear" w:color="auto" w:fill="auto"/>
            <w:vAlign w:val="center"/>
          </w:tcPr>
          <w:p w14:paraId="3423ECCC">
            <w:pPr>
              <w:widowControl/>
              <w:jc w:val="center"/>
              <w:rPr>
                <w:rFonts w:ascii="宋体" w:hAnsi="宋体" w:cs="宋体"/>
                <w:kern w:val="0"/>
                <w:sz w:val="18"/>
                <w:szCs w:val="18"/>
              </w:rPr>
            </w:pPr>
            <w:r>
              <w:rPr>
                <w:rFonts w:hint="eastAsia" w:ascii="宋体" w:hAnsi="宋体" w:cs="宋体"/>
                <w:kern w:val="0"/>
                <w:sz w:val="18"/>
                <w:szCs w:val="18"/>
              </w:rPr>
              <w:t>100%</w:t>
            </w:r>
          </w:p>
        </w:tc>
      </w:tr>
      <w:tr w14:paraId="6C9A5D5A">
        <w:tblPrEx>
          <w:tblCellMar>
            <w:top w:w="0" w:type="dxa"/>
            <w:left w:w="108" w:type="dxa"/>
            <w:bottom w:w="0" w:type="dxa"/>
            <w:right w:w="108" w:type="dxa"/>
          </w:tblCellMar>
        </w:tblPrEx>
        <w:trPr>
          <w:trHeight w:val="439" w:hRule="atLeast"/>
        </w:trPr>
        <w:tc>
          <w:tcPr>
            <w:tcW w:w="2380" w:type="dxa"/>
            <w:gridSpan w:val="3"/>
            <w:vMerge w:val="continue"/>
            <w:tcBorders>
              <w:top w:val="single" w:color="auto" w:sz="4" w:space="0"/>
              <w:left w:val="single" w:color="auto" w:sz="4" w:space="0"/>
              <w:bottom w:val="single" w:color="auto" w:sz="4" w:space="0"/>
              <w:right w:val="single" w:color="auto" w:sz="4" w:space="0"/>
            </w:tcBorders>
            <w:vAlign w:val="center"/>
          </w:tcPr>
          <w:p w14:paraId="1D00A364">
            <w:pPr>
              <w:widowControl/>
              <w:jc w:val="left"/>
              <w:rPr>
                <w:rFonts w:ascii="宋体" w:hAnsi="宋体" w:cs="宋体"/>
                <w:kern w:val="0"/>
                <w:sz w:val="18"/>
                <w:szCs w:val="18"/>
              </w:rPr>
            </w:pPr>
          </w:p>
        </w:tc>
        <w:tc>
          <w:tcPr>
            <w:tcW w:w="2500" w:type="dxa"/>
            <w:tcBorders>
              <w:top w:val="nil"/>
              <w:left w:val="nil"/>
              <w:bottom w:val="single" w:color="auto" w:sz="4" w:space="0"/>
              <w:right w:val="single" w:color="auto" w:sz="4" w:space="0"/>
            </w:tcBorders>
            <w:shd w:val="clear" w:color="auto" w:fill="auto"/>
            <w:vAlign w:val="center"/>
          </w:tcPr>
          <w:p w14:paraId="3B75F9A4">
            <w:pPr>
              <w:widowControl/>
              <w:jc w:val="left"/>
              <w:rPr>
                <w:rFonts w:ascii="宋体" w:hAnsi="宋体" w:cs="宋体"/>
                <w:kern w:val="0"/>
                <w:sz w:val="18"/>
                <w:szCs w:val="18"/>
              </w:rPr>
            </w:pPr>
            <w:r>
              <w:rPr>
                <w:rFonts w:hint="eastAsia" w:ascii="宋体" w:hAnsi="宋体" w:cs="宋体"/>
                <w:kern w:val="0"/>
                <w:sz w:val="18"/>
                <w:szCs w:val="18"/>
              </w:rPr>
              <w:t xml:space="preserve">         其他资金</w:t>
            </w:r>
          </w:p>
        </w:tc>
        <w:tc>
          <w:tcPr>
            <w:tcW w:w="1280" w:type="dxa"/>
            <w:tcBorders>
              <w:top w:val="nil"/>
              <w:left w:val="nil"/>
              <w:bottom w:val="single" w:color="auto" w:sz="4" w:space="0"/>
              <w:right w:val="single" w:color="auto" w:sz="4" w:space="0"/>
            </w:tcBorders>
            <w:shd w:val="clear" w:color="auto" w:fill="auto"/>
            <w:vAlign w:val="center"/>
          </w:tcPr>
          <w:p w14:paraId="3330C7F4">
            <w:pPr>
              <w:widowControl/>
              <w:jc w:val="left"/>
              <w:rPr>
                <w:rFonts w:ascii="宋体" w:hAnsi="宋体" w:cs="宋体"/>
                <w:kern w:val="0"/>
                <w:sz w:val="18"/>
                <w:szCs w:val="18"/>
              </w:rPr>
            </w:pPr>
            <w:r>
              <w:rPr>
                <w:rFonts w:hint="eastAsia" w:ascii="宋体" w:hAnsi="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center"/>
          </w:tcPr>
          <w:p w14:paraId="3B63D9FF">
            <w:pPr>
              <w:widowControl/>
              <w:jc w:val="left"/>
              <w:rPr>
                <w:rFonts w:ascii="宋体" w:hAnsi="宋体" w:cs="宋体"/>
                <w:kern w:val="0"/>
                <w:sz w:val="18"/>
                <w:szCs w:val="18"/>
              </w:rPr>
            </w:pPr>
            <w:r>
              <w:rPr>
                <w:rFonts w:hint="eastAsia" w:ascii="宋体" w:hAnsi="宋体" w:cs="宋体"/>
                <w:kern w:val="0"/>
                <w:sz w:val="18"/>
                <w:szCs w:val="18"/>
              </w:rPr>
              <w:t>　</w:t>
            </w:r>
          </w:p>
        </w:tc>
        <w:tc>
          <w:tcPr>
            <w:tcW w:w="1880" w:type="dxa"/>
            <w:gridSpan w:val="2"/>
            <w:tcBorders>
              <w:top w:val="single" w:color="auto" w:sz="4" w:space="0"/>
              <w:left w:val="nil"/>
              <w:bottom w:val="single" w:color="auto" w:sz="4" w:space="0"/>
              <w:right w:val="single" w:color="000000" w:sz="4" w:space="0"/>
            </w:tcBorders>
            <w:shd w:val="clear" w:color="auto" w:fill="auto"/>
            <w:vAlign w:val="center"/>
          </w:tcPr>
          <w:p w14:paraId="449554F0">
            <w:pPr>
              <w:widowControl/>
              <w:jc w:val="center"/>
              <w:rPr>
                <w:rFonts w:ascii="宋体" w:hAnsi="宋体" w:cs="宋体"/>
                <w:kern w:val="0"/>
                <w:sz w:val="18"/>
                <w:szCs w:val="18"/>
              </w:rPr>
            </w:pPr>
            <w:r>
              <w:rPr>
                <w:rFonts w:hint="eastAsia" w:ascii="宋体" w:hAnsi="宋体" w:cs="宋体"/>
                <w:kern w:val="0"/>
                <w:sz w:val="18"/>
                <w:szCs w:val="18"/>
              </w:rPr>
              <w:t>　</w:t>
            </w:r>
          </w:p>
        </w:tc>
      </w:tr>
      <w:tr w14:paraId="777F1FD5">
        <w:tblPrEx>
          <w:tblCellMar>
            <w:top w:w="0" w:type="dxa"/>
            <w:left w:w="108" w:type="dxa"/>
            <w:bottom w:w="0" w:type="dxa"/>
            <w:right w:w="108" w:type="dxa"/>
          </w:tblCellMar>
        </w:tblPrEx>
        <w:trPr>
          <w:trHeight w:val="439"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3D9FCE98">
            <w:pPr>
              <w:widowControl/>
              <w:jc w:val="center"/>
              <w:rPr>
                <w:rFonts w:ascii="宋体" w:hAnsi="宋体" w:cs="宋体"/>
                <w:kern w:val="0"/>
                <w:sz w:val="18"/>
                <w:szCs w:val="18"/>
              </w:rPr>
            </w:pPr>
            <w:r>
              <w:rPr>
                <w:rFonts w:hint="eastAsia" w:ascii="宋体" w:hAnsi="宋体" w:cs="宋体"/>
                <w:kern w:val="0"/>
                <w:sz w:val="18"/>
                <w:szCs w:val="18"/>
              </w:rPr>
              <w:t>总</w:t>
            </w:r>
            <w:r>
              <w:rPr>
                <w:rFonts w:hint="eastAsia" w:ascii="宋体" w:hAnsi="宋体" w:cs="宋体"/>
                <w:kern w:val="0"/>
                <w:sz w:val="18"/>
                <w:szCs w:val="18"/>
              </w:rPr>
              <w:br w:type="textWrapping"/>
            </w:r>
            <w:r>
              <w:rPr>
                <w:rFonts w:hint="eastAsia" w:ascii="宋体" w:hAnsi="宋体" w:cs="宋体"/>
                <w:kern w:val="0"/>
                <w:sz w:val="18"/>
                <w:szCs w:val="18"/>
              </w:rPr>
              <w:t>体</w:t>
            </w:r>
            <w:r>
              <w:rPr>
                <w:rFonts w:hint="eastAsia" w:ascii="宋体" w:hAnsi="宋体" w:cs="宋体"/>
                <w:kern w:val="0"/>
                <w:sz w:val="18"/>
                <w:szCs w:val="18"/>
              </w:rPr>
              <w:br w:type="textWrapping"/>
            </w:r>
            <w:r>
              <w:rPr>
                <w:rFonts w:hint="eastAsia" w:ascii="宋体" w:hAnsi="宋体" w:cs="宋体"/>
                <w:kern w:val="0"/>
                <w:sz w:val="18"/>
                <w:szCs w:val="18"/>
              </w:rPr>
              <w:t>目</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4140" w:type="dxa"/>
            <w:gridSpan w:val="3"/>
            <w:tcBorders>
              <w:top w:val="single" w:color="auto" w:sz="4" w:space="0"/>
              <w:left w:val="nil"/>
              <w:bottom w:val="single" w:color="auto" w:sz="4" w:space="0"/>
              <w:right w:val="single" w:color="auto" w:sz="4" w:space="0"/>
            </w:tcBorders>
            <w:shd w:val="clear" w:color="auto" w:fill="auto"/>
            <w:vAlign w:val="center"/>
          </w:tcPr>
          <w:p w14:paraId="072BEFB2">
            <w:pPr>
              <w:widowControl/>
              <w:jc w:val="center"/>
              <w:rPr>
                <w:rFonts w:ascii="宋体" w:hAnsi="宋体" w:cs="宋体"/>
                <w:kern w:val="0"/>
                <w:sz w:val="18"/>
                <w:szCs w:val="18"/>
              </w:rPr>
            </w:pPr>
            <w:r>
              <w:rPr>
                <w:rFonts w:hint="eastAsia" w:ascii="宋体" w:hAnsi="宋体" w:cs="宋体"/>
                <w:kern w:val="0"/>
                <w:sz w:val="18"/>
                <w:szCs w:val="18"/>
              </w:rPr>
              <w:t>年度设定目标</w:t>
            </w:r>
          </w:p>
        </w:tc>
        <w:tc>
          <w:tcPr>
            <w:tcW w:w="4160" w:type="dxa"/>
            <w:gridSpan w:val="4"/>
            <w:tcBorders>
              <w:top w:val="single" w:color="auto" w:sz="4" w:space="0"/>
              <w:left w:val="nil"/>
              <w:bottom w:val="single" w:color="auto" w:sz="4" w:space="0"/>
              <w:right w:val="single" w:color="auto" w:sz="4" w:space="0"/>
            </w:tcBorders>
            <w:shd w:val="clear" w:color="auto" w:fill="auto"/>
            <w:vAlign w:val="center"/>
          </w:tcPr>
          <w:p w14:paraId="1646A7EF">
            <w:pPr>
              <w:widowControl/>
              <w:jc w:val="center"/>
              <w:rPr>
                <w:rFonts w:ascii="宋体" w:hAnsi="宋体" w:cs="宋体"/>
                <w:kern w:val="0"/>
                <w:sz w:val="18"/>
                <w:szCs w:val="18"/>
              </w:rPr>
            </w:pPr>
            <w:r>
              <w:rPr>
                <w:rFonts w:hint="eastAsia" w:ascii="宋体" w:hAnsi="宋体" w:cs="宋体"/>
                <w:kern w:val="0"/>
                <w:sz w:val="18"/>
                <w:szCs w:val="18"/>
              </w:rPr>
              <w:t>实际完成情况</w:t>
            </w:r>
          </w:p>
        </w:tc>
      </w:tr>
      <w:tr w14:paraId="70386064">
        <w:tblPrEx>
          <w:tblCellMar>
            <w:top w:w="0" w:type="dxa"/>
            <w:left w:w="108" w:type="dxa"/>
            <w:bottom w:w="0" w:type="dxa"/>
            <w:right w:w="108" w:type="dxa"/>
          </w:tblCellMar>
        </w:tblPrEx>
        <w:trPr>
          <w:trHeight w:val="1065" w:hRule="atLeast"/>
        </w:trPr>
        <w:tc>
          <w:tcPr>
            <w:tcW w:w="740" w:type="dxa"/>
            <w:vMerge w:val="continue"/>
            <w:tcBorders>
              <w:top w:val="nil"/>
              <w:left w:val="single" w:color="auto" w:sz="4" w:space="0"/>
              <w:bottom w:val="single" w:color="auto" w:sz="4" w:space="0"/>
              <w:right w:val="single" w:color="auto" w:sz="4" w:space="0"/>
            </w:tcBorders>
            <w:vAlign w:val="center"/>
          </w:tcPr>
          <w:p w14:paraId="40BC827A">
            <w:pPr>
              <w:widowControl/>
              <w:jc w:val="left"/>
              <w:rPr>
                <w:rFonts w:ascii="宋体" w:hAnsi="宋体" w:cs="宋体"/>
                <w:kern w:val="0"/>
                <w:sz w:val="18"/>
                <w:szCs w:val="18"/>
              </w:rPr>
            </w:pPr>
          </w:p>
        </w:tc>
        <w:tc>
          <w:tcPr>
            <w:tcW w:w="4140" w:type="dxa"/>
            <w:gridSpan w:val="3"/>
            <w:tcBorders>
              <w:top w:val="single" w:color="auto" w:sz="4" w:space="0"/>
              <w:left w:val="nil"/>
              <w:bottom w:val="single" w:color="auto" w:sz="4" w:space="0"/>
              <w:right w:val="single" w:color="auto" w:sz="4" w:space="0"/>
            </w:tcBorders>
            <w:shd w:val="clear" w:color="auto" w:fill="auto"/>
          </w:tcPr>
          <w:p w14:paraId="3FD5D1AE">
            <w:pPr>
              <w:widowControl/>
              <w:jc w:val="center"/>
              <w:rPr>
                <w:rFonts w:ascii="宋体" w:hAnsi="宋体" w:cs="宋体"/>
                <w:kern w:val="0"/>
                <w:sz w:val="18"/>
                <w:szCs w:val="18"/>
              </w:rPr>
            </w:pPr>
            <w:r>
              <w:rPr>
                <w:rFonts w:hint="eastAsia" w:ascii="宋体" w:hAnsi="宋体" w:cs="宋体"/>
                <w:kern w:val="0"/>
                <w:sz w:val="18"/>
                <w:szCs w:val="18"/>
              </w:rPr>
              <w:t>对省级工业发展资金支持项目监督管理工作，要求工业、信息服务业等按照行业技术规范和标准实施，对省级工业发展资金支持的工业项目开展绩效评价和审查工作。</w:t>
            </w:r>
          </w:p>
        </w:tc>
        <w:tc>
          <w:tcPr>
            <w:tcW w:w="4160" w:type="dxa"/>
            <w:gridSpan w:val="4"/>
            <w:tcBorders>
              <w:top w:val="single" w:color="auto" w:sz="4" w:space="0"/>
              <w:left w:val="nil"/>
              <w:bottom w:val="single" w:color="auto" w:sz="4" w:space="0"/>
              <w:right w:val="single" w:color="000000" w:sz="4" w:space="0"/>
            </w:tcBorders>
            <w:shd w:val="clear" w:color="auto" w:fill="auto"/>
            <w:vAlign w:val="center"/>
          </w:tcPr>
          <w:p w14:paraId="23DB1CFB">
            <w:pPr>
              <w:widowControl/>
              <w:jc w:val="center"/>
              <w:rPr>
                <w:rFonts w:ascii="宋体" w:hAnsi="宋体" w:cs="宋体"/>
                <w:kern w:val="0"/>
                <w:sz w:val="18"/>
                <w:szCs w:val="18"/>
              </w:rPr>
            </w:pPr>
            <w:r>
              <w:rPr>
                <w:rFonts w:hint="eastAsia" w:ascii="宋体" w:hAnsi="宋体" w:cs="宋体"/>
                <w:kern w:val="0"/>
                <w:sz w:val="18"/>
                <w:szCs w:val="18"/>
              </w:rPr>
              <w:t>2021年度已完成年度目标</w:t>
            </w:r>
          </w:p>
        </w:tc>
      </w:tr>
      <w:tr w14:paraId="3538E774">
        <w:tblPrEx>
          <w:tblCellMar>
            <w:top w:w="0" w:type="dxa"/>
            <w:left w:w="108" w:type="dxa"/>
            <w:bottom w:w="0" w:type="dxa"/>
            <w:right w:w="108" w:type="dxa"/>
          </w:tblCellMar>
        </w:tblPrEx>
        <w:trPr>
          <w:trHeight w:val="675"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7D422BC7">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740" w:type="dxa"/>
            <w:tcBorders>
              <w:top w:val="nil"/>
              <w:left w:val="nil"/>
              <w:bottom w:val="single" w:color="auto" w:sz="4" w:space="0"/>
              <w:right w:val="single" w:color="auto" w:sz="4" w:space="0"/>
            </w:tcBorders>
            <w:shd w:val="clear" w:color="auto" w:fill="auto"/>
            <w:vAlign w:val="center"/>
          </w:tcPr>
          <w:p w14:paraId="05537E4E">
            <w:pPr>
              <w:widowControl/>
              <w:jc w:val="center"/>
              <w:rPr>
                <w:rFonts w:ascii="宋体" w:hAnsi="宋体" w:cs="宋体"/>
                <w:kern w:val="0"/>
                <w:sz w:val="18"/>
                <w:szCs w:val="18"/>
              </w:rPr>
            </w:pPr>
            <w:r>
              <w:rPr>
                <w:rFonts w:hint="eastAsia" w:ascii="宋体" w:hAnsi="宋体" w:cs="宋体"/>
                <w:kern w:val="0"/>
                <w:sz w:val="18"/>
                <w:szCs w:val="18"/>
              </w:rPr>
              <w:t>一级</w:t>
            </w:r>
            <w:r>
              <w:rPr>
                <w:rFonts w:hint="eastAsia" w:ascii="宋体" w:hAnsi="宋体" w:cs="宋体"/>
                <w:kern w:val="0"/>
                <w:sz w:val="18"/>
                <w:szCs w:val="18"/>
              </w:rPr>
              <w:br w:type="textWrapping"/>
            </w:r>
            <w:r>
              <w:rPr>
                <w:rFonts w:hint="eastAsia" w:ascii="宋体" w:hAnsi="宋体" w:cs="宋体"/>
                <w:kern w:val="0"/>
                <w:sz w:val="18"/>
                <w:szCs w:val="18"/>
              </w:rPr>
              <w:t>指标</w:t>
            </w:r>
          </w:p>
        </w:tc>
        <w:tc>
          <w:tcPr>
            <w:tcW w:w="900" w:type="dxa"/>
            <w:tcBorders>
              <w:top w:val="nil"/>
              <w:left w:val="nil"/>
              <w:bottom w:val="single" w:color="auto" w:sz="4" w:space="0"/>
              <w:right w:val="single" w:color="auto" w:sz="4" w:space="0"/>
            </w:tcBorders>
            <w:shd w:val="clear" w:color="auto" w:fill="auto"/>
            <w:vAlign w:val="center"/>
          </w:tcPr>
          <w:p w14:paraId="0547B6B3">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500" w:type="dxa"/>
            <w:tcBorders>
              <w:top w:val="nil"/>
              <w:left w:val="nil"/>
              <w:bottom w:val="single" w:color="auto" w:sz="4" w:space="0"/>
              <w:right w:val="single" w:color="auto" w:sz="4" w:space="0"/>
            </w:tcBorders>
            <w:shd w:val="clear" w:color="auto" w:fill="auto"/>
            <w:vAlign w:val="center"/>
          </w:tcPr>
          <w:p w14:paraId="520C5A62">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1280" w:type="dxa"/>
            <w:tcBorders>
              <w:top w:val="nil"/>
              <w:left w:val="nil"/>
              <w:bottom w:val="single" w:color="auto" w:sz="4" w:space="0"/>
              <w:right w:val="single" w:color="auto" w:sz="4" w:space="0"/>
            </w:tcBorders>
            <w:shd w:val="clear" w:color="auto" w:fill="auto"/>
            <w:vAlign w:val="center"/>
          </w:tcPr>
          <w:p w14:paraId="78732BC2">
            <w:pPr>
              <w:widowControl/>
              <w:jc w:val="center"/>
              <w:rPr>
                <w:rFonts w:ascii="宋体" w:hAnsi="宋体" w:cs="宋体"/>
                <w:kern w:val="0"/>
                <w:sz w:val="18"/>
                <w:szCs w:val="18"/>
              </w:rPr>
            </w:pPr>
            <w:r>
              <w:rPr>
                <w:rFonts w:hint="eastAsia" w:ascii="宋体" w:hAnsi="宋体" w:cs="宋体"/>
                <w:kern w:val="0"/>
                <w:sz w:val="18"/>
                <w:szCs w:val="18"/>
              </w:rPr>
              <w:t>年度指标值</w:t>
            </w:r>
          </w:p>
        </w:tc>
        <w:tc>
          <w:tcPr>
            <w:tcW w:w="1000" w:type="dxa"/>
            <w:tcBorders>
              <w:top w:val="nil"/>
              <w:left w:val="nil"/>
              <w:bottom w:val="single" w:color="auto" w:sz="4" w:space="0"/>
              <w:right w:val="single" w:color="auto" w:sz="4" w:space="0"/>
            </w:tcBorders>
            <w:shd w:val="clear" w:color="auto" w:fill="auto"/>
            <w:vAlign w:val="center"/>
          </w:tcPr>
          <w:p w14:paraId="0FA9936E">
            <w:pPr>
              <w:widowControl/>
              <w:jc w:val="center"/>
              <w:rPr>
                <w:rFonts w:ascii="宋体" w:hAnsi="宋体" w:cs="宋体"/>
                <w:kern w:val="0"/>
                <w:sz w:val="18"/>
                <w:szCs w:val="18"/>
              </w:rPr>
            </w:pPr>
            <w:r>
              <w:rPr>
                <w:rFonts w:hint="eastAsia" w:ascii="宋体" w:hAnsi="宋体" w:cs="宋体"/>
                <w:kern w:val="0"/>
                <w:sz w:val="18"/>
                <w:szCs w:val="18"/>
              </w:rPr>
              <w:t>实际完成数</w:t>
            </w:r>
          </w:p>
        </w:tc>
        <w:tc>
          <w:tcPr>
            <w:tcW w:w="1060" w:type="dxa"/>
            <w:tcBorders>
              <w:top w:val="nil"/>
              <w:left w:val="nil"/>
              <w:bottom w:val="single" w:color="auto" w:sz="4" w:space="0"/>
              <w:right w:val="single" w:color="auto" w:sz="4" w:space="0"/>
            </w:tcBorders>
            <w:shd w:val="clear" w:color="auto" w:fill="auto"/>
            <w:vAlign w:val="center"/>
          </w:tcPr>
          <w:p w14:paraId="0458F3BD">
            <w:pPr>
              <w:widowControl/>
              <w:jc w:val="center"/>
              <w:rPr>
                <w:rFonts w:ascii="宋体" w:hAnsi="宋体" w:cs="宋体"/>
                <w:kern w:val="0"/>
                <w:sz w:val="18"/>
                <w:szCs w:val="18"/>
              </w:rPr>
            </w:pPr>
            <w:r>
              <w:rPr>
                <w:rFonts w:hint="eastAsia" w:ascii="宋体" w:hAnsi="宋体" w:cs="宋体"/>
                <w:kern w:val="0"/>
                <w:sz w:val="18"/>
                <w:szCs w:val="18"/>
              </w:rPr>
              <w:t>完成率（%）</w:t>
            </w:r>
          </w:p>
        </w:tc>
        <w:tc>
          <w:tcPr>
            <w:tcW w:w="820" w:type="dxa"/>
            <w:tcBorders>
              <w:top w:val="nil"/>
              <w:left w:val="nil"/>
              <w:bottom w:val="single" w:color="auto" w:sz="4" w:space="0"/>
              <w:right w:val="single" w:color="auto" w:sz="4" w:space="0"/>
            </w:tcBorders>
            <w:shd w:val="clear" w:color="auto" w:fill="auto"/>
            <w:vAlign w:val="center"/>
          </w:tcPr>
          <w:p w14:paraId="1407AB29">
            <w:pPr>
              <w:widowControl/>
              <w:jc w:val="left"/>
              <w:rPr>
                <w:rFonts w:ascii="宋体" w:hAnsi="宋体" w:cs="宋体"/>
                <w:kern w:val="0"/>
                <w:sz w:val="18"/>
                <w:szCs w:val="18"/>
              </w:rPr>
            </w:pPr>
            <w:r>
              <w:rPr>
                <w:rFonts w:hint="eastAsia" w:ascii="宋体" w:hAnsi="宋体" w:cs="宋体"/>
                <w:kern w:val="0"/>
                <w:sz w:val="18"/>
                <w:szCs w:val="18"/>
              </w:rPr>
              <w:t>未完成原因和改进措施</w:t>
            </w:r>
          </w:p>
        </w:tc>
      </w:tr>
      <w:tr w14:paraId="7E357ADF">
        <w:tblPrEx>
          <w:tblCellMar>
            <w:top w:w="0" w:type="dxa"/>
            <w:left w:w="108" w:type="dxa"/>
            <w:bottom w:w="0" w:type="dxa"/>
            <w:right w:w="108" w:type="dxa"/>
          </w:tblCellMar>
        </w:tblPrEx>
        <w:trPr>
          <w:trHeight w:val="765" w:hRule="atLeast"/>
        </w:trPr>
        <w:tc>
          <w:tcPr>
            <w:tcW w:w="740" w:type="dxa"/>
            <w:vMerge w:val="continue"/>
            <w:tcBorders>
              <w:top w:val="nil"/>
              <w:left w:val="single" w:color="auto" w:sz="4" w:space="0"/>
              <w:bottom w:val="single" w:color="auto" w:sz="4" w:space="0"/>
              <w:right w:val="single" w:color="auto" w:sz="4" w:space="0"/>
            </w:tcBorders>
            <w:vAlign w:val="center"/>
          </w:tcPr>
          <w:p w14:paraId="751291EF">
            <w:pPr>
              <w:widowControl/>
              <w:jc w:val="left"/>
              <w:rPr>
                <w:rFonts w:ascii="宋体" w:hAnsi="宋体" w:cs="宋体"/>
                <w:kern w:val="0"/>
                <w:sz w:val="18"/>
                <w:szCs w:val="18"/>
              </w:rPr>
            </w:pP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75C7D99D">
            <w:pPr>
              <w:widowControl/>
              <w:jc w:val="center"/>
              <w:rPr>
                <w:rFonts w:ascii="宋体" w:hAnsi="宋体" w:cs="宋体"/>
                <w:kern w:val="0"/>
                <w:sz w:val="18"/>
                <w:szCs w:val="18"/>
              </w:rPr>
            </w:pPr>
            <w:r>
              <w:rPr>
                <w:rFonts w:hint="eastAsia" w:ascii="宋体" w:hAnsi="宋体" w:cs="宋体"/>
                <w:kern w:val="0"/>
                <w:sz w:val="18"/>
                <w:szCs w:val="18"/>
              </w:rPr>
              <w:t>项目完成</w:t>
            </w:r>
          </w:p>
        </w:tc>
        <w:tc>
          <w:tcPr>
            <w:tcW w:w="900" w:type="dxa"/>
            <w:vMerge w:val="restart"/>
            <w:tcBorders>
              <w:top w:val="nil"/>
              <w:left w:val="single" w:color="auto" w:sz="4" w:space="0"/>
              <w:bottom w:val="single" w:color="auto" w:sz="4" w:space="0"/>
              <w:right w:val="single" w:color="auto" w:sz="4" w:space="0"/>
            </w:tcBorders>
            <w:shd w:val="clear" w:color="auto" w:fill="auto"/>
            <w:vAlign w:val="center"/>
          </w:tcPr>
          <w:p w14:paraId="49D8FB23">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500" w:type="dxa"/>
            <w:tcBorders>
              <w:top w:val="nil"/>
              <w:left w:val="nil"/>
              <w:bottom w:val="single" w:color="auto" w:sz="4" w:space="0"/>
              <w:right w:val="single" w:color="auto" w:sz="4" w:space="0"/>
            </w:tcBorders>
            <w:shd w:val="clear" w:color="auto" w:fill="auto"/>
            <w:vAlign w:val="center"/>
          </w:tcPr>
          <w:p w14:paraId="40121590">
            <w:pPr>
              <w:widowControl/>
              <w:jc w:val="left"/>
              <w:rPr>
                <w:rFonts w:ascii="宋体" w:hAnsi="宋体" w:cs="宋体"/>
                <w:kern w:val="0"/>
                <w:sz w:val="18"/>
                <w:szCs w:val="18"/>
              </w:rPr>
            </w:pPr>
            <w:r>
              <w:rPr>
                <w:rFonts w:hint="eastAsia" w:ascii="宋体" w:hAnsi="宋体" w:cs="宋体"/>
                <w:kern w:val="0"/>
                <w:sz w:val="18"/>
                <w:szCs w:val="18"/>
              </w:rPr>
              <w:t>对2021年省级工业发展资金项目进行绩效评价工作</w:t>
            </w:r>
          </w:p>
        </w:tc>
        <w:tc>
          <w:tcPr>
            <w:tcW w:w="1280" w:type="dxa"/>
            <w:tcBorders>
              <w:top w:val="nil"/>
              <w:left w:val="nil"/>
              <w:bottom w:val="single" w:color="auto" w:sz="4" w:space="0"/>
              <w:right w:val="single" w:color="auto" w:sz="4" w:space="0"/>
            </w:tcBorders>
            <w:shd w:val="clear" w:color="auto" w:fill="auto"/>
            <w:vAlign w:val="center"/>
          </w:tcPr>
          <w:p w14:paraId="5523C493">
            <w:pPr>
              <w:widowControl/>
              <w:jc w:val="left"/>
              <w:rPr>
                <w:rFonts w:ascii="宋体" w:hAnsi="宋体" w:cs="宋体"/>
                <w:kern w:val="0"/>
                <w:sz w:val="18"/>
                <w:szCs w:val="18"/>
              </w:rPr>
            </w:pPr>
            <w:r>
              <w:rPr>
                <w:rFonts w:hint="eastAsia" w:ascii="宋体" w:hAnsi="宋体" w:cs="宋体"/>
                <w:kern w:val="0"/>
                <w:sz w:val="18"/>
                <w:szCs w:val="18"/>
              </w:rPr>
              <w:t>7个项目</w:t>
            </w:r>
          </w:p>
        </w:tc>
        <w:tc>
          <w:tcPr>
            <w:tcW w:w="1000" w:type="dxa"/>
            <w:tcBorders>
              <w:top w:val="nil"/>
              <w:left w:val="nil"/>
              <w:bottom w:val="single" w:color="auto" w:sz="4" w:space="0"/>
              <w:right w:val="single" w:color="auto" w:sz="4" w:space="0"/>
            </w:tcBorders>
            <w:shd w:val="clear" w:color="auto" w:fill="auto"/>
            <w:vAlign w:val="center"/>
          </w:tcPr>
          <w:p w14:paraId="7EE2B041">
            <w:pPr>
              <w:widowControl/>
              <w:jc w:val="left"/>
              <w:rPr>
                <w:rFonts w:ascii="宋体" w:hAnsi="宋体" w:cs="宋体"/>
                <w:kern w:val="0"/>
                <w:sz w:val="18"/>
                <w:szCs w:val="18"/>
              </w:rPr>
            </w:pPr>
            <w:r>
              <w:rPr>
                <w:rFonts w:hint="eastAsia" w:ascii="宋体" w:hAnsi="宋体" w:cs="宋体"/>
                <w:kern w:val="0"/>
                <w:sz w:val="18"/>
                <w:szCs w:val="18"/>
              </w:rPr>
              <w:t>7个</w:t>
            </w:r>
          </w:p>
        </w:tc>
        <w:tc>
          <w:tcPr>
            <w:tcW w:w="1060" w:type="dxa"/>
            <w:tcBorders>
              <w:top w:val="nil"/>
              <w:left w:val="nil"/>
              <w:bottom w:val="single" w:color="auto" w:sz="4" w:space="0"/>
              <w:right w:val="single" w:color="auto" w:sz="4" w:space="0"/>
            </w:tcBorders>
            <w:shd w:val="clear" w:color="auto" w:fill="auto"/>
            <w:vAlign w:val="center"/>
          </w:tcPr>
          <w:p w14:paraId="6E8614EE">
            <w:pPr>
              <w:widowControl/>
              <w:jc w:val="center"/>
              <w:rPr>
                <w:rFonts w:ascii="宋体" w:hAnsi="宋体" w:cs="宋体"/>
                <w:kern w:val="0"/>
                <w:sz w:val="18"/>
                <w:szCs w:val="18"/>
              </w:rPr>
            </w:pPr>
            <w:r>
              <w:rPr>
                <w:rFonts w:hint="eastAsia" w:ascii="宋体" w:hAnsi="宋体" w:cs="宋体"/>
                <w:kern w:val="0"/>
                <w:sz w:val="18"/>
                <w:szCs w:val="18"/>
              </w:rPr>
              <w:t>100%</w:t>
            </w:r>
          </w:p>
        </w:tc>
        <w:tc>
          <w:tcPr>
            <w:tcW w:w="820" w:type="dxa"/>
            <w:tcBorders>
              <w:top w:val="nil"/>
              <w:left w:val="nil"/>
              <w:bottom w:val="single" w:color="auto" w:sz="4" w:space="0"/>
              <w:right w:val="single" w:color="auto" w:sz="4" w:space="0"/>
            </w:tcBorders>
            <w:shd w:val="clear" w:color="auto" w:fill="auto"/>
            <w:vAlign w:val="center"/>
          </w:tcPr>
          <w:p w14:paraId="7FA8DD2C">
            <w:pPr>
              <w:widowControl/>
              <w:jc w:val="left"/>
              <w:rPr>
                <w:rFonts w:ascii="宋体" w:hAnsi="宋体" w:cs="宋体"/>
                <w:kern w:val="0"/>
                <w:sz w:val="18"/>
                <w:szCs w:val="18"/>
              </w:rPr>
            </w:pPr>
            <w:r>
              <w:rPr>
                <w:rFonts w:hint="eastAsia" w:ascii="宋体" w:hAnsi="宋体" w:cs="宋体"/>
                <w:kern w:val="0"/>
                <w:sz w:val="18"/>
                <w:szCs w:val="18"/>
              </w:rPr>
              <w:t>　</w:t>
            </w:r>
          </w:p>
        </w:tc>
      </w:tr>
      <w:tr w14:paraId="38E0AE21">
        <w:tblPrEx>
          <w:tblCellMar>
            <w:top w:w="0" w:type="dxa"/>
            <w:left w:w="108" w:type="dxa"/>
            <w:bottom w:w="0" w:type="dxa"/>
            <w:right w:w="108" w:type="dxa"/>
          </w:tblCellMar>
        </w:tblPrEx>
        <w:trPr>
          <w:trHeight w:val="765" w:hRule="atLeast"/>
        </w:trPr>
        <w:tc>
          <w:tcPr>
            <w:tcW w:w="740" w:type="dxa"/>
            <w:vMerge w:val="continue"/>
            <w:tcBorders>
              <w:top w:val="nil"/>
              <w:left w:val="single" w:color="auto" w:sz="4" w:space="0"/>
              <w:bottom w:val="single" w:color="auto" w:sz="4" w:space="0"/>
              <w:right w:val="single" w:color="auto" w:sz="4" w:space="0"/>
            </w:tcBorders>
            <w:vAlign w:val="center"/>
          </w:tcPr>
          <w:p w14:paraId="59112347">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32E6F674">
            <w:pPr>
              <w:widowControl/>
              <w:jc w:val="left"/>
              <w:rPr>
                <w:rFonts w:ascii="宋体" w:hAnsi="宋体" w:cs="宋体"/>
                <w:kern w:val="0"/>
                <w:sz w:val="18"/>
                <w:szCs w:val="18"/>
              </w:rPr>
            </w:pPr>
          </w:p>
        </w:tc>
        <w:tc>
          <w:tcPr>
            <w:tcW w:w="900" w:type="dxa"/>
            <w:vMerge w:val="continue"/>
            <w:tcBorders>
              <w:top w:val="nil"/>
              <w:left w:val="single" w:color="auto" w:sz="4" w:space="0"/>
              <w:bottom w:val="single" w:color="auto" w:sz="4" w:space="0"/>
              <w:right w:val="single" w:color="auto" w:sz="4" w:space="0"/>
            </w:tcBorders>
            <w:vAlign w:val="center"/>
          </w:tcPr>
          <w:p w14:paraId="1151CF4B">
            <w:pPr>
              <w:widowControl/>
              <w:jc w:val="left"/>
              <w:rPr>
                <w:rFonts w:ascii="宋体" w:hAnsi="宋体" w:cs="宋体"/>
                <w:kern w:val="0"/>
                <w:sz w:val="18"/>
                <w:szCs w:val="18"/>
              </w:rPr>
            </w:pPr>
          </w:p>
        </w:tc>
        <w:tc>
          <w:tcPr>
            <w:tcW w:w="2500" w:type="dxa"/>
            <w:tcBorders>
              <w:top w:val="nil"/>
              <w:left w:val="nil"/>
              <w:bottom w:val="single" w:color="auto" w:sz="4" w:space="0"/>
              <w:right w:val="single" w:color="auto" w:sz="4" w:space="0"/>
            </w:tcBorders>
            <w:shd w:val="clear" w:color="auto" w:fill="auto"/>
            <w:vAlign w:val="center"/>
          </w:tcPr>
          <w:p w14:paraId="2A45D8A3">
            <w:pPr>
              <w:widowControl/>
              <w:jc w:val="left"/>
              <w:rPr>
                <w:rFonts w:ascii="宋体" w:hAnsi="宋体" w:cs="宋体"/>
                <w:kern w:val="0"/>
                <w:sz w:val="18"/>
                <w:szCs w:val="18"/>
              </w:rPr>
            </w:pPr>
            <w:r>
              <w:rPr>
                <w:rFonts w:hint="eastAsia" w:ascii="宋体" w:hAnsi="宋体" w:cs="宋体"/>
                <w:kern w:val="0"/>
                <w:sz w:val="18"/>
                <w:szCs w:val="18"/>
              </w:rPr>
              <w:t>组织开展技改项目审查工作</w:t>
            </w:r>
          </w:p>
        </w:tc>
        <w:tc>
          <w:tcPr>
            <w:tcW w:w="1280" w:type="dxa"/>
            <w:tcBorders>
              <w:top w:val="nil"/>
              <w:left w:val="nil"/>
              <w:bottom w:val="single" w:color="auto" w:sz="4" w:space="0"/>
              <w:right w:val="single" w:color="auto" w:sz="4" w:space="0"/>
            </w:tcBorders>
            <w:shd w:val="clear" w:color="auto" w:fill="auto"/>
            <w:vAlign w:val="center"/>
          </w:tcPr>
          <w:p w14:paraId="7958EACD">
            <w:pPr>
              <w:widowControl/>
              <w:jc w:val="left"/>
              <w:rPr>
                <w:rFonts w:ascii="宋体" w:hAnsi="宋体" w:cs="宋体"/>
                <w:kern w:val="0"/>
                <w:sz w:val="18"/>
                <w:szCs w:val="18"/>
              </w:rPr>
            </w:pPr>
            <w:r>
              <w:rPr>
                <w:rFonts w:hint="eastAsia" w:ascii="宋体" w:hAnsi="宋体" w:cs="宋体"/>
                <w:kern w:val="0"/>
                <w:sz w:val="18"/>
                <w:szCs w:val="18"/>
              </w:rPr>
              <w:t>10次</w:t>
            </w:r>
          </w:p>
        </w:tc>
        <w:tc>
          <w:tcPr>
            <w:tcW w:w="1000" w:type="dxa"/>
            <w:tcBorders>
              <w:top w:val="nil"/>
              <w:left w:val="nil"/>
              <w:bottom w:val="single" w:color="auto" w:sz="4" w:space="0"/>
              <w:right w:val="single" w:color="auto" w:sz="4" w:space="0"/>
            </w:tcBorders>
            <w:shd w:val="clear" w:color="auto" w:fill="auto"/>
            <w:vAlign w:val="center"/>
          </w:tcPr>
          <w:p w14:paraId="29A0B7C5">
            <w:pPr>
              <w:widowControl/>
              <w:jc w:val="left"/>
              <w:rPr>
                <w:rFonts w:ascii="宋体" w:hAnsi="宋体" w:cs="宋体"/>
                <w:kern w:val="0"/>
                <w:sz w:val="18"/>
                <w:szCs w:val="18"/>
              </w:rPr>
            </w:pPr>
            <w:r>
              <w:rPr>
                <w:rFonts w:hint="eastAsia" w:ascii="宋体" w:hAnsi="宋体" w:cs="宋体"/>
                <w:kern w:val="0"/>
                <w:sz w:val="18"/>
                <w:szCs w:val="18"/>
              </w:rPr>
              <w:t>10次</w:t>
            </w:r>
          </w:p>
        </w:tc>
        <w:tc>
          <w:tcPr>
            <w:tcW w:w="1060" w:type="dxa"/>
            <w:tcBorders>
              <w:top w:val="nil"/>
              <w:left w:val="nil"/>
              <w:bottom w:val="single" w:color="auto" w:sz="4" w:space="0"/>
              <w:right w:val="single" w:color="auto" w:sz="4" w:space="0"/>
            </w:tcBorders>
            <w:shd w:val="clear" w:color="auto" w:fill="auto"/>
            <w:vAlign w:val="center"/>
          </w:tcPr>
          <w:p w14:paraId="6C515CD6">
            <w:pPr>
              <w:widowControl/>
              <w:jc w:val="center"/>
              <w:rPr>
                <w:rFonts w:ascii="宋体" w:hAnsi="宋体" w:cs="宋体"/>
                <w:kern w:val="0"/>
                <w:sz w:val="18"/>
                <w:szCs w:val="18"/>
              </w:rPr>
            </w:pPr>
            <w:r>
              <w:rPr>
                <w:rFonts w:hint="eastAsia" w:ascii="宋体" w:hAnsi="宋体" w:cs="宋体"/>
                <w:kern w:val="0"/>
                <w:sz w:val="18"/>
                <w:szCs w:val="18"/>
              </w:rPr>
              <w:t>100%</w:t>
            </w:r>
          </w:p>
        </w:tc>
        <w:tc>
          <w:tcPr>
            <w:tcW w:w="820" w:type="dxa"/>
            <w:tcBorders>
              <w:top w:val="nil"/>
              <w:left w:val="nil"/>
              <w:bottom w:val="single" w:color="auto" w:sz="4" w:space="0"/>
              <w:right w:val="single" w:color="auto" w:sz="4" w:space="0"/>
            </w:tcBorders>
            <w:shd w:val="clear" w:color="auto" w:fill="auto"/>
            <w:vAlign w:val="center"/>
          </w:tcPr>
          <w:p w14:paraId="3DDF20AA">
            <w:pPr>
              <w:widowControl/>
              <w:jc w:val="left"/>
              <w:rPr>
                <w:rFonts w:ascii="宋体" w:hAnsi="宋体" w:cs="宋体"/>
                <w:kern w:val="0"/>
                <w:sz w:val="18"/>
                <w:szCs w:val="18"/>
              </w:rPr>
            </w:pPr>
            <w:r>
              <w:rPr>
                <w:rFonts w:hint="eastAsia" w:ascii="宋体" w:hAnsi="宋体" w:cs="宋体"/>
                <w:kern w:val="0"/>
                <w:sz w:val="18"/>
                <w:szCs w:val="18"/>
              </w:rPr>
              <w:t>　</w:t>
            </w:r>
          </w:p>
        </w:tc>
      </w:tr>
      <w:tr w14:paraId="11F80E10">
        <w:tblPrEx>
          <w:tblCellMar>
            <w:top w:w="0" w:type="dxa"/>
            <w:left w:w="108" w:type="dxa"/>
            <w:bottom w:w="0" w:type="dxa"/>
            <w:right w:w="108" w:type="dxa"/>
          </w:tblCellMar>
        </w:tblPrEx>
        <w:trPr>
          <w:trHeight w:val="765" w:hRule="atLeast"/>
        </w:trPr>
        <w:tc>
          <w:tcPr>
            <w:tcW w:w="740" w:type="dxa"/>
            <w:vMerge w:val="continue"/>
            <w:tcBorders>
              <w:top w:val="nil"/>
              <w:left w:val="single" w:color="auto" w:sz="4" w:space="0"/>
              <w:bottom w:val="single" w:color="auto" w:sz="4" w:space="0"/>
              <w:right w:val="single" w:color="auto" w:sz="4" w:space="0"/>
            </w:tcBorders>
            <w:vAlign w:val="center"/>
          </w:tcPr>
          <w:p w14:paraId="49C6FCFC">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293B63E4">
            <w:pPr>
              <w:widowControl/>
              <w:jc w:val="left"/>
              <w:rPr>
                <w:rFonts w:ascii="宋体" w:hAnsi="宋体" w:cs="宋体"/>
                <w:kern w:val="0"/>
                <w:sz w:val="18"/>
                <w:szCs w:val="18"/>
              </w:rPr>
            </w:pPr>
          </w:p>
        </w:tc>
        <w:tc>
          <w:tcPr>
            <w:tcW w:w="900" w:type="dxa"/>
            <w:vMerge w:val="restart"/>
            <w:tcBorders>
              <w:top w:val="nil"/>
              <w:left w:val="single" w:color="auto" w:sz="4" w:space="0"/>
              <w:bottom w:val="single" w:color="auto" w:sz="4" w:space="0"/>
              <w:right w:val="single" w:color="auto" w:sz="4" w:space="0"/>
            </w:tcBorders>
            <w:shd w:val="clear" w:color="auto" w:fill="auto"/>
            <w:vAlign w:val="center"/>
          </w:tcPr>
          <w:p w14:paraId="457BCC10">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500" w:type="dxa"/>
            <w:tcBorders>
              <w:top w:val="nil"/>
              <w:left w:val="nil"/>
              <w:bottom w:val="single" w:color="auto" w:sz="4" w:space="0"/>
              <w:right w:val="single" w:color="auto" w:sz="4" w:space="0"/>
            </w:tcBorders>
            <w:shd w:val="clear" w:color="auto" w:fill="auto"/>
            <w:vAlign w:val="center"/>
          </w:tcPr>
          <w:p w14:paraId="05F762AB">
            <w:pPr>
              <w:widowControl/>
              <w:jc w:val="left"/>
              <w:rPr>
                <w:rFonts w:ascii="宋体" w:hAnsi="宋体" w:cs="宋体"/>
                <w:kern w:val="0"/>
                <w:sz w:val="18"/>
                <w:szCs w:val="18"/>
              </w:rPr>
            </w:pPr>
            <w:r>
              <w:rPr>
                <w:rFonts w:hint="eastAsia" w:ascii="宋体" w:hAnsi="宋体" w:cs="宋体"/>
                <w:kern w:val="0"/>
                <w:sz w:val="18"/>
                <w:szCs w:val="18"/>
              </w:rPr>
              <w:t>对2021年省级工业发展资金项目进行绩效评价工作</w:t>
            </w:r>
          </w:p>
        </w:tc>
        <w:tc>
          <w:tcPr>
            <w:tcW w:w="1280" w:type="dxa"/>
            <w:tcBorders>
              <w:top w:val="nil"/>
              <w:left w:val="nil"/>
              <w:bottom w:val="single" w:color="auto" w:sz="4" w:space="0"/>
              <w:right w:val="single" w:color="auto" w:sz="4" w:space="0"/>
            </w:tcBorders>
            <w:shd w:val="clear" w:color="auto" w:fill="auto"/>
            <w:vAlign w:val="center"/>
          </w:tcPr>
          <w:p w14:paraId="7736FBFD">
            <w:pPr>
              <w:widowControl/>
              <w:jc w:val="left"/>
              <w:rPr>
                <w:rFonts w:ascii="宋体" w:hAnsi="宋体" w:cs="宋体"/>
                <w:kern w:val="0"/>
                <w:sz w:val="18"/>
                <w:szCs w:val="18"/>
              </w:rPr>
            </w:pPr>
            <w:r>
              <w:rPr>
                <w:rFonts w:hint="eastAsia" w:ascii="宋体" w:hAnsi="宋体" w:cs="宋体"/>
                <w:kern w:val="0"/>
                <w:sz w:val="18"/>
                <w:szCs w:val="18"/>
              </w:rPr>
              <w:t>全覆盖验收</w:t>
            </w:r>
          </w:p>
        </w:tc>
        <w:tc>
          <w:tcPr>
            <w:tcW w:w="1000" w:type="dxa"/>
            <w:tcBorders>
              <w:top w:val="nil"/>
              <w:left w:val="nil"/>
              <w:bottom w:val="single" w:color="auto" w:sz="4" w:space="0"/>
              <w:right w:val="single" w:color="auto" w:sz="4" w:space="0"/>
            </w:tcBorders>
            <w:shd w:val="clear" w:color="auto" w:fill="auto"/>
            <w:vAlign w:val="center"/>
          </w:tcPr>
          <w:p w14:paraId="28FEE373">
            <w:pPr>
              <w:widowControl/>
              <w:jc w:val="left"/>
              <w:rPr>
                <w:rFonts w:ascii="宋体" w:hAnsi="宋体" w:cs="宋体"/>
                <w:kern w:val="0"/>
                <w:sz w:val="18"/>
                <w:szCs w:val="18"/>
              </w:rPr>
            </w:pPr>
            <w:r>
              <w:rPr>
                <w:rFonts w:hint="eastAsia" w:ascii="宋体" w:hAnsi="宋体" w:cs="宋体"/>
                <w:kern w:val="0"/>
                <w:sz w:val="18"/>
                <w:szCs w:val="18"/>
              </w:rPr>
              <w:t>全覆盖验收</w:t>
            </w:r>
          </w:p>
        </w:tc>
        <w:tc>
          <w:tcPr>
            <w:tcW w:w="1060" w:type="dxa"/>
            <w:tcBorders>
              <w:top w:val="nil"/>
              <w:left w:val="nil"/>
              <w:bottom w:val="single" w:color="auto" w:sz="4" w:space="0"/>
              <w:right w:val="single" w:color="auto" w:sz="4" w:space="0"/>
            </w:tcBorders>
            <w:shd w:val="clear" w:color="auto" w:fill="auto"/>
            <w:vAlign w:val="center"/>
          </w:tcPr>
          <w:p w14:paraId="41397D0E">
            <w:pPr>
              <w:widowControl/>
              <w:jc w:val="center"/>
              <w:rPr>
                <w:rFonts w:ascii="宋体" w:hAnsi="宋体" w:cs="宋体"/>
                <w:kern w:val="0"/>
                <w:sz w:val="18"/>
                <w:szCs w:val="18"/>
              </w:rPr>
            </w:pPr>
            <w:r>
              <w:rPr>
                <w:rFonts w:hint="eastAsia" w:ascii="宋体" w:hAnsi="宋体" w:cs="宋体"/>
                <w:kern w:val="0"/>
                <w:sz w:val="18"/>
                <w:szCs w:val="18"/>
              </w:rPr>
              <w:t>100%</w:t>
            </w:r>
          </w:p>
        </w:tc>
        <w:tc>
          <w:tcPr>
            <w:tcW w:w="820" w:type="dxa"/>
            <w:tcBorders>
              <w:top w:val="nil"/>
              <w:left w:val="nil"/>
              <w:bottom w:val="single" w:color="auto" w:sz="4" w:space="0"/>
              <w:right w:val="single" w:color="auto" w:sz="4" w:space="0"/>
            </w:tcBorders>
            <w:shd w:val="clear" w:color="auto" w:fill="auto"/>
            <w:vAlign w:val="center"/>
          </w:tcPr>
          <w:p w14:paraId="01411E19">
            <w:pPr>
              <w:widowControl/>
              <w:jc w:val="left"/>
              <w:rPr>
                <w:rFonts w:ascii="宋体" w:hAnsi="宋体" w:cs="宋体"/>
                <w:kern w:val="0"/>
                <w:sz w:val="18"/>
                <w:szCs w:val="18"/>
              </w:rPr>
            </w:pPr>
            <w:r>
              <w:rPr>
                <w:rFonts w:hint="eastAsia" w:ascii="宋体" w:hAnsi="宋体" w:cs="宋体"/>
                <w:kern w:val="0"/>
                <w:sz w:val="18"/>
                <w:szCs w:val="18"/>
              </w:rPr>
              <w:t>　</w:t>
            </w:r>
          </w:p>
        </w:tc>
      </w:tr>
      <w:tr w14:paraId="7510B68E">
        <w:tblPrEx>
          <w:tblCellMar>
            <w:top w:w="0" w:type="dxa"/>
            <w:left w:w="108" w:type="dxa"/>
            <w:bottom w:w="0" w:type="dxa"/>
            <w:right w:w="108" w:type="dxa"/>
          </w:tblCellMar>
        </w:tblPrEx>
        <w:trPr>
          <w:trHeight w:val="765" w:hRule="atLeast"/>
        </w:trPr>
        <w:tc>
          <w:tcPr>
            <w:tcW w:w="740" w:type="dxa"/>
            <w:vMerge w:val="continue"/>
            <w:tcBorders>
              <w:top w:val="nil"/>
              <w:left w:val="single" w:color="auto" w:sz="4" w:space="0"/>
              <w:bottom w:val="single" w:color="auto" w:sz="4" w:space="0"/>
              <w:right w:val="single" w:color="auto" w:sz="4" w:space="0"/>
            </w:tcBorders>
            <w:vAlign w:val="center"/>
          </w:tcPr>
          <w:p w14:paraId="4DD9634F">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70479BFF">
            <w:pPr>
              <w:widowControl/>
              <w:jc w:val="left"/>
              <w:rPr>
                <w:rFonts w:ascii="宋体" w:hAnsi="宋体" w:cs="宋体"/>
                <w:kern w:val="0"/>
                <w:sz w:val="18"/>
                <w:szCs w:val="18"/>
              </w:rPr>
            </w:pPr>
          </w:p>
        </w:tc>
        <w:tc>
          <w:tcPr>
            <w:tcW w:w="900" w:type="dxa"/>
            <w:vMerge w:val="continue"/>
            <w:tcBorders>
              <w:top w:val="nil"/>
              <w:left w:val="single" w:color="auto" w:sz="4" w:space="0"/>
              <w:bottom w:val="single" w:color="auto" w:sz="4" w:space="0"/>
              <w:right w:val="single" w:color="auto" w:sz="4" w:space="0"/>
            </w:tcBorders>
            <w:vAlign w:val="center"/>
          </w:tcPr>
          <w:p w14:paraId="3CF28816">
            <w:pPr>
              <w:widowControl/>
              <w:jc w:val="left"/>
              <w:rPr>
                <w:rFonts w:ascii="宋体" w:hAnsi="宋体" w:cs="宋体"/>
                <w:kern w:val="0"/>
                <w:sz w:val="18"/>
                <w:szCs w:val="18"/>
              </w:rPr>
            </w:pPr>
          </w:p>
        </w:tc>
        <w:tc>
          <w:tcPr>
            <w:tcW w:w="2500" w:type="dxa"/>
            <w:tcBorders>
              <w:top w:val="nil"/>
              <w:left w:val="nil"/>
              <w:bottom w:val="single" w:color="auto" w:sz="4" w:space="0"/>
              <w:right w:val="single" w:color="auto" w:sz="4" w:space="0"/>
            </w:tcBorders>
            <w:shd w:val="clear" w:color="auto" w:fill="auto"/>
            <w:vAlign w:val="center"/>
          </w:tcPr>
          <w:p w14:paraId="4492CD61">
            <w:pPr>
              <w:widowControl/>
              <w:jc w:val="left"/>
              <w:rPr>
                <w:rFonts w:ascii="宋体" w:hAnsi="宋体" w:cs="宋体"/>
                <w:kern w:val="0"/>
                <w:sz w:val="18"/>
                <w:szCs w:val="18"/>
              </w:rPr>
            </w:pPr>
            <w:r>
              <w:rPr>
                <w:rFonts w:hint="eastAsia" w:ascii="宋体" w:hAnsi="宋体" w:cs="宋体"/>
                <w:kern w:val="0"/>
                <w:sz w:val="18"/>
                <w:szCs w:val="18"/>
              </w:rPr>
              <w:t>组织开展技改项目审查工作</w:t>
            </w:r>
          </w:p>
        </w:tc>
        <w:tc>
          <w:tcPr>
            <w:tcW w:w="1280" w:type="dxa"/>
            <w:tcBorders>
              <w:top w:val="nil"/>
              <w:left w:val="nil"/>
              <w:bottom w:val="single" w:color="auto" w:sz="4" w:space="0"/>
              <w:right w:val="single" w:color="auto" w:sz="4" w:space="0"/>
            </w:tcBorders>
            <w:shd w:val="clear" w:color="auto" w:fill="auto"/>
            <w:vAlign w:val="center"/>
          </w:tcPr>
          <w:p w14:paraId="43B753F1">
            <w:pPr>
              <w:widowControl/>
              <w:jc w:val="left"/>
              <w:rPr>
                <w:rFonts w:ascii="宋体" w:hAnsi="宋体" w:cs="宋体"/>
                <w:kern w:val="0"/>
                <w:sz w:val="18"/>
                <w:szCs w:val="18"/>
              </w:rPr>
            </w:pPr>
            <w:r>
              <w:rPr>
                <w:rFonts w:hint="eastAsia" w:ascii="宋体" w:hAnsi="宋体" w:cs="宋体"/>
                <w:kern w:val="0"/>
                <w:sz w:val="18"/>
                <w:szCs w:val="18"/>
              </w:rPr>
              <w:t>全部完成</w:t>
            </w:r>
          </w:p>
        </w:tc>
        <w:tc>
          <w:tcPr>
            <w:tcW w:w="1000" w:type="dxa"/>
            <w:tcBorders>
              <w:top w:val="nil"/>
              <w:left w:val="nil"/>
              <w:bottom w:val="single" w:color="auto" w:sz="4" w:space="0"/>
              <w:right w:val="single" w:color="auto" w:sz="4" w:space="0"/>
            </w:tcBorders>
            <w:shd w:val="clear" w:color="auto" w:fill="auto"/>
            <w:vAlign w:val="center"/>
          </w:tcPr>
          <w:p w14:paraId="73632325">
            <w:pPr>
              <w:widowControl/>
              <w:jc w:val="left"/>
              <w:rPr>
                <w:rFonts w:ascii="宋体" w:hAnsi="宋体" w:cs="宋体"/>
                <w:kern w:val="0"/>
                <w:sz w:val="18"/>
                <w:szCs w:val="18"/>
              </w:rPr>
            </w:pPr>
            <w:r>
              <w:rPr>
                <w:rFonts w:hint="eastAsia" w:ascii="宋体" w:hAnsi="宋体" w:cs="宋体"/>
                <w:kern w:val="0"/>
                <w:sz w:val="18"/>
                <w:szCs w:val="18"/>
              </w:rPr>
              <w:t>全部完成</w:t>
            </w:r>
          </w:p>
        </w:tc>
        <w:tc>
          <w:tcPr>
            <w:tcW w:w="1060" w:type="dxa"/>
            <w:tcBorders>
              <w:top w:val="nil"/>
              <w:left w:val="nil"/>
              <w:bottom w:val="single" w:color="auto" w:sz="4" w:space="0"/>
              <w:right w:val="single" w:color="auto" w:sz="4" w:space="0"/>
            </w:tcBorders>
            <w:shd w:val="clear" w:color="auto" w:fill="auto"/>
            <w:vAlign w:val="center"/>
          </w:tcPr>
          <w:p w14:paraId="4FD7D160">
            <w:pPr>
              <w:widowControl/>
              <w:jc w:val="center"/>
              <w:rPr>
                <w:rFonts w:ascii="宋体" w:hAnsi="宋体" w:cs="宋体"/>
                <w:kern w:val="0"/>
                <w:sz w:val="18"/>
                <w:szCs w:val="18"/>
              </w:rPr>
            </w:pPr>
            <w:r>
              <w:rPr>
                <w:rFonts w:hint="eastAsia" w:ascii="宋体" w:hAnsi="宋体" w:cs="宋体"/>
                <w:kern w:val="0"/>
                <w:sz w:val="18"/>
                <w:szCs w:val="18"/>
              </w:rPr>
              <w:t>100%</w:t>
            </w:r>
          </w:p>
        </w:tc>
        <w:tc>
          <w:tcPr>
            <w:tcW w:w="820" w:type="dxa"/>
            <w:tcBorders>
              <w:top w:val="nil"/>
              <w:left w:val="nil"/>
              <w:bottom w:val="single" w:color="auto" w:sz="4" w:space="0"/>
              <w:right w:val="single" w:color="auto" w:sz="4" w:space="0"/>
            </w:tcBorders>
            <w:shd w:val="clear" w:color="auto" w:fill="auto"/>
            <w:vAlign w:val="center"/>
          </w:tcPr>
          <w:p w14:paraId="0FAA2BB4">
            <w:pPr>
              <w:widowControl/>
              <w:jc w:val="left"/>
              <w:rPr>
                <w:rFonts w:ascii="宋体" w:hAnsi="宋体" w:cs="宋体"/>
                <w:kern w:val="0"/>
                <w:sz w:val="18"/>
                <w:szCs w:val="18"/>
              </w:rPr>
            </w:pPr>
            <w:r>
              <w:rPr>
                <w:rFonts w:hint="eastAsia" w:ascii="宋体" w:hAnsi="宋体" w:cs="宋体"/>
                <w:kern w:val="0"/>
                <w:sz w:val="18"/>
                <w:szCs w:val="18"/>
              </w:rPr>
              <w:t>　</w:t>
            </w:r>
          </w:p>
        </w:tc>
      </w:tr>
      <w:tr w14:paraId="6F35FD67">
        <w:tblPrEx>
          <w:tblCellMar>
            <w:top w:w="0" w:type="dxa"/>
            <w:left w:w="108" w:type="dxa"/>
            <w:bottom w:w="0" w:type="dxa"/>
            <w:right w:w="108" w:type="dxa"/>
          </w:tblCellMar>
        </w:tblPrEx>
        <w:trPr>
          <w:trHeight w:val="765" w:hRule="atLeast"/>
        </w:trPr>
        <w:tc>
          <w:tcPr>
            <w:tcW w:w="740" w:type="dxa"/>
            <w:vMerge w:val="continue"/>
            <w:tcBorders>
              <w:top w:val="nil"/>
              <w:left w:val="single" w:color="auto" w:sz="4" w:space="0"/>
              <w:bottom w:val="single" w:color="auto" w:sz="4" w:space="0"/>
              <w:right w:val="single" w:color="auto" w:sz="4" w:space="0"/>
            </w:tcBorders>
            <w:vAlign w:val="center"/>
          </w:tcPr>
          <w:p w14:paraId="7422011D">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699882A7">
            <w:pPr>
              <w:widowControl/>
              <w:jc w:val="left"/>
              <w:rPr>
                <w:rFonts w:ascii="宋体" w:hAnsi="宋体" w:cs="宋体"/>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14:paraId="168EADB1">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500" w:type="dxa"/>
            <w:tcBorders>
              <w:top w:val="nil"/>
              <w:left w:val="nil"/>
              <w:bottom w:val="single" w:color="auto" w:sz="4" w:space="0"/>
              <w:right w:val="single" w:color="auto" w:sz="4" w:space="0"/>
            </w:tcBorders>
            <w:shd w:val="clear" w:color="auto" w:fill="auto"/>
            <w:vAlign w:val="center"/>
          </w:tcPr>
          <w:p w14:paraId="20E4CB1E">
            <w:pPr>
              <w:widowControl/>
              <w:jc w:val="left"/>
              <w:rPr>
                <w:rFonts w:ascii="宋体" w:hAnsi="宋体" w:cs="宋体"/>
                <w:kern w:val="0"/>
                <w:sz w:val="18"/>
                <w:szCs w:val="18"/>
              </w:rPr>
            </w:pPr>
            <w:r>
              <w:rPr>
                <w:rFonts w:hint="eastAsia" w:ascii="宋体" w:hAnsi="宋体" w:cs="宋体"/>
                <w:kern w:val="0"/>
                <w:sz w:val="18"/>
                <w:szCs w:val="18"/>
              </w:rPr>
              <w:t>2021年底前完成</w:t>
            </w:r>
          </w:p>
        </w:tc>
        <w:tc>
          <w:tcPr>
            <w:tcW w:w="1280" w:type="dxa"/>
            <w:tcBorders>
              <w:top w:val="nil"/>
              <w:left w:val="nil"/>
              <w:bottom w:val="single" w:color="auto" w:sz="4" w:space="0"/>
              <w:right w:val="single" w:color="auto" w:sz="4" w:space="0"/>
            </w:tcBorders>
            <w:shd w:val="clear" w:color="auto" w:fill="auto"/>
            <w:vAlign w:val="center"/>
          </w:tcPr>
          <w:p w14:paraId="46EEBC5D">
            <w:pPr>
              <w:widowControl/>
              <w:jc w:val="left"/>
              <w:rPr>
                <w:rFonts w:ascii="宋体" w:hAnsi="宋体" w:cs="宋体"/>
                <w:kern w:val="0"/>
                <w:sz w:val="18"/>
                <w:szCs w:val="18"/>
              </w:rPr>
            </w:pPr>
            <w:r>
              <w:rPr>
                <w:rFonts w:hint="eastAsia" w:ascii="宋体" w:hAnsi="宋体" w:cs="宋体"/>
                <w:kern w:val="0"/>
                <w:sz w:val="18"/>
                <w:szCs w:val="18"/>
              </w:rPr>
              <w:t>2021年12月31日前</w:t>
            </w:r>
          </w:p>
        </w:tc>
        <w:tc>
          <w:tcPr>
            <w:tcW w:w="1000" w:type="dxa"/>
            <w:tcBorders>
              <w:top w:val="nil"/>
              <w:left w:val="nil"/>
              <w:bottom w:val="nil"/>
              <w:right w:val="nil"/>
            </w:tcBorders>
            <w:shd w:val="clear" w:color="auto" w:fill="auto"/>
            <w:vAlign w:val="center"/>
          </w:tcPr>
          <w:p w14:paraId="02204927">
            <w:pPr>
              <w:widowControl/>
              <w:jc w:val="left"/>
              <w:rPr>
                <w:rFonts w:ascii="宋体" w:hAnsi="宋体" w:cs="宋体"/>
                <w:kern w:val="0"/>
                <w:sz w:val="18"/>
                <w:szCs w:val="18"/>
              </w:rPr>
            </w:pPr>
            <w:r>
              <w:rPr>
                <w:rFonts w:hint="eastAsia" w:ascii="宋体" w:hAnsi="宋体" w:cs="宋体"/>
                <w:kern w:val="0"/>
                <w:sz w:val="18"/>
                <w:szCs w:val="18"/>
              </w:rPr>
              <w:t>已完成</w:t>
            </w:r>
          </w:p>
        </w:tc>
        <w:tc>
          <w:tcPr>
            <w:tcW w:w="1060" w:type="dxa"/>
            <w:tcBorders>
              <w:top w:val="nil"/>
              <w:left w:val="single" w:color="auto" w:sz="4" w:space="0"/>
              <w:bottom w:val="single" w:color="auto" w:sz="4" w:space="0"/>
              <w:right w:val="single" w:color="auto" w:sz="4" w:space="0"/>
            </w:tcBorders>
            <w:shd w:val="clear" w:color="auto" w:fill="auto"/>
            <w:vAlign w:val="center"/>
          </w:tcPr>
          <w:p w14:paraId="031B180C">
            <w:pPr>
              <w:widowControl/>
              <w:jc w:val="center"/>
              <w:rPr>
                <w:rFonts w:ascii="宋体" w:hAnsi="宋体" w:cs="宋体"/>
                <w:kern w:val="0"/>
                <w:sz w:val="18"/>
                <w:szCs w:val="18"/>
              </w:rPr>
            </w:pPr>
            <w:r>
              <w:rPr>
                <w:rFonts w:hint="eastAsia" w:ascii="宋体" w:hAnsi="宋体" w:cs="宋体"/>
                <w:kern w:val="0"/>
                <w:sz w:val="18"/>
                <w:szCs w:val="18"/>
              </w:rPr>
              <w:t>100%</w:t>
            </w:r>
          </w:p>
        </w:tc>
        <w:tc>
          <w:tcPr>
            <w:tcW w:w="820" w:type="dxa"/>
            <w:tcBorders>
              <w:top w:val="nil"/>
              <w:left w:val="nil"/>
              <w:bottom w:val="single" w:color="auto" w:sz="4" w:space="0"/>
              <w:right w:val="single" w:color="auto" w:sz="4" w:space="0"/>
            </w:tcBorders>
            <w:shd w:val="clear" w:color="auto" w:fill="auto"/>
            <w:vAlign w:val="center"/>
          </w:tcPr>
          <w:p w14:paraId="65C027DD">
            <w:pPr>
              <w:widowControl/>
              <w:jc w:val="left"/>
              <w:rPr>
                <w:rFonts w:ascii="宋体" w:hAnsi="宋体" w:cs="宋体"/>
                <w:kern w:val="0"/>
                <w:sz w:val="18"/>
                <w:szCs w:val="18"/>
              </w:rPr>
            </w:pPr>
            <w:r>
              <w:rPr>
                <w:rFonts w:hint="eastAsia" w:ascii="宋体" w:hAnsi="宋体" w:cs="宋体"/>
                <w:kern w:val="0"/>
                <w:sz w:val="18"/>
                <w:szCs w:val="18"/>
              </w:rPr>
              <w:t>　</w:t>
            </w:r>
          </w:p>
        </w:tc>
      </w:tr>
      <w:tr w14:paraId="6632D174">
        <w:tblPrEx>
          <w:tblCellMar>
            <w:top w:w="0" w:type="dxa"/>
            <w:left w:w="108" w:type="dxa"/>
            <w:bottom w:w="0" w:type="dxa"/>
            <w:right w:w="108" w:type="dxa"/>
          </w:tblCellMar>
        </w:tblPrEx>
        <w:trPr>
          <w:trHeight w:val="765" w:hRule="atLeast"/>
        </w:trPr>
        <w:tc>
          <w:tcPr>
            <w:tcW w:w="740" w:type="dxa"/>
            <w:vMerge w:val="continue"/>
            <w:tcBorders>
              <w:top w:val="nil"/>
              <w:left w:val="single" w:color="auto" w:sz="4" w:space="0"/>
              <w:bottom w:val="single" w:color="auto" w:sz="4" w:space="0"/>
              <w:right w:val="single" w:color="auto" w:sz="4" w:space="0"/>
            </w:tcBorders>
            <w:vAlign w:val="center"/>
          </w:tcPr>
          <w:p w14:paraId="20F1E2C7">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4D2A9647">
            <w:pPr>
              <w:widowControl/>
              <w:jc w:val="left"/>
              <w:rPr>
                <w:rFonts w:ascii="宋体" w:hAnsi="宋体" w:cs="宋体"/>
                <w:kern w:val="0"/>
                <w:sz w:val="18"/>
                <w:szCs w:val="18"/>
              </w:rPr>
            </w:pPr>
          </w:p>
        </w:tc>
        <w:tc>
          <w:tcPr>
            <w:tcW w:w="900" w:type="dxa"/>
            <w:vMerge w:val="restart"/>
            <w:tcBorders>
              <w:top w:val="nil"/>
              <w:left w:val="single" w:color="auto" w:sz="4" w:space="0"/>
              <w:bottom w:val="single" w:color="auto" w:sz="4" w:space="0"/>
              <w:right w:val="single" w:color="auto" w:sz="4" w:space="0"/>
            </w:tcBorders>
            <w:shd w:val="clear" w:color="auto" w:fill="auto"/>
            <w:vAlign w:val="center"/>
          </w:tcPr>
          <w:p w14:paraId="7DEDD50C">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500" w:type="dxa"/>
            <w:tcBorders>
              <w:top w:val="nil"/>
              <w:left w:val="nil"/>
              <w:bottom w:val="single" w:color="auto" w:sz="4" w:space="0"/>
              <w:right w:val="single" w:color="auto" w:sz="4" w:space="0"/>
            </w:tcBorders>
            <w:shd w:val="clear" w:color="auto" w:fill="auto"/>
            <w:vAlign w:val="center"/>
          </w:tcPr>
          <w:p w14:paraId="3F17C3FF">
            <w:pPr>
              <w:widowControl/>
              <w:jc w:val="left"/>
              <w:rPr>
                <w:rFonts w:ascii="宋体" w:hAnsi="宋体" w:cs="宋体"/>
                <w:kern w:val="0"/>
                <w:sz w:val="18"/>
                <w:szCs w:val="18"/>
              </w:rPr>
            </w:pPr>
            <w:r>
              <w:rPr>
                <w:rFonts w:hint="eastAsia" w:ascii="宋体" w:hAnsi="宋体" w:cs="宋体"/>
                <w:kern w:val="0"/>
                <w:sz w:val="18"/>
                <w:szCs w:val="18"/>
              </w:rPr>
              <w:t>项目评价费用</w:t>
            </w:r>
          </w:p>
        </w:tc>
        <w:tc>
          <w:tcPr>
            <w:tcW w:w="1280" w:type="dxa"/>
            <w:tcBorders>
              <w:top w:val="nil"/>
              <w:left w:val="nil"/>
              <w:bottom w:val="single" w:color="auto" w:sz="4" w:space="0"/>
              <w:right w:val="single" w:color="auto" w:sz="4" w:space="0"/>
            </w:tcBorders>
            <w:shd w:val="clear" w:color="auto" w:fill="auto"/>
            <w:vAlign w:val="center"/>
          </w:tcPr>
          <w:p w14:paraId="406BBCA0">
            <w:pPr>
              <w:widowControl/>
              <w:jc w:val="left"/>
              <w:rPr>
                <w:rFonts w:ascii="宋体" w:hAnsi="宋体" w:cs="宋体"/>
                <w:kern w:val="0"/>
                <w:sz w:val="18"/>
                <w:szCs w:val="18"/>
              </w:rPr>
            </w:pPr>
            <w:r>
              <w:rPr>
                <w:rFonts w:hint="eastAsia" w:ascii="宋体" w:hAnsi="宋体" w:cs="宋体"/>
                <w:kern w:val="0"/>
                <w:sz w:val="18"/>
                <w:szCs w:val="18"/>
              </w:rPr>
              <w:t>5万元</w:t>
            </w:r>
          </w:p>
        </w:tc>
        <w:tc>
          <w:tcPr>
            <w:tcW w:w="1000" w:type="dxa"/>
            <w:tcBorders>
              <w:top w:val="single" w:color="auto" w:sz="4" w:space="0"/>
              <w:left w:val="nil"/>
              <w:bottom w:val="single" w:color="auto" w:sz="4" w:space="0"/>
              <w:right w:val="single" w:color="auto" w:sz="4" w:space="0"/>
            </w:tcBorders>
            <w:shd w:val="clear" w:color="auto" w:fill="auto"/>
            <w:vAlign w:val="center"/>
          </w:tcPr>
          <w:p w14:paraId="2245B923">
            <w:pPr>
              <w:widowControl/>
              <w:jc w:val="left"/>
              <w:rPr>
                <w:rFonts w:ascii="宋体" w:hAnsi="宋体" w:cs="宋体"/>
                <w:kern w:val="0"/>
                <w:sz w:val="18"/>
                <w:szCs w:val="18"/>
              </w:rPr>
            </w:pPr>
            <w:r>
              <w:rPr>
                <w:rFonts w:hint="eastAsia" w:ascii="宋体" w:hAnsi="宋体" w:cs="宋体"/>
                <w:kern w:val="0"/>
                <w:sz w:val="18"/>
                <w:szCs w:val="18"/>
              </w:rPr>
              <w:t>5万元</w:t>
            </w:r>
          </w:p>
        </w:tc>
        <w:tc>
          <w:tcPr>
            <w:tcW w:w="1060" w:type="dxa"/>
            <w:tcBorders>
              <w:top w:val="nil"/>
              <w:left w:val="nil"/>
              <w:bottom w:val="single" w:color="auto" w:sz="4" w:space="0"/>
              <w:right w:val="single" w:color="auto" w:sz="4" w:space="0"/>
            </w:tcBorders>
            <w:shd w:val="clear" w:color="auto" w:fill="auto"/>
            <w:vAlign w:val="center"/>
          </w:tcPr>
          <w:p w14:paraId="6F704B36">
            <w:pPr>
              <w:widowControl/>
              <w:jc w:val="center"/>
              <w:rPr>
                <w:rFonts w:ascii="宋体" w:hAnsi="宋体" w:cs="宋体"/>
                <w:kern w:val="0"/>
                <w:sz w:val="18"/>
                <w:szCs w:val="18"/>
              </w:rPr>
            </w:pPr>
            <w:r>
              <w:rPr>
                <w:rFonts w:hint="eastAsia" w:ascii="宋体" w:hAnsi="宋体" w:cs="宋体"/>
                <w:kern w:val="0"/>
                <w:sz w:val="18"/>
                <w:szCs w:val="18"/>
              </w:rPr>
              <w:t>100%</w:t>
            </w:r>
          </w:p>
        </w:tc>
        <w:tc>
          <w:tcPr>
            <w:tcW w:w="820" w:type="dxa"/>
            <w:tcBorders>
              <w:top w:val="nil"/>
              <w:left w:val="nil"/>
              <w:bottom w:val="single" w:color="auto" w:sz="4" w:space="0"/>
              <w:right w:val="single" w:color="auto" w:sz="4" w:space="0"/>
            </w:tcBorders>
            <w:shd w:val="clear" w:color="auto" w:fill="auto"/>
            <w:vAlign w:val="center"/>
          </w:tcPr>
          <w:p w14:paraId="0C8820A9">
            <w:pPr>
              <w:widowControl/>
              <w:jc w:val="left"/>
              <w:rPr>
                <w:rFonts w:ascii="宋体" w:hAnsi="宋体" w:cs="宋体"/>
                <w:kern w:val="0"/>
                <w:sz w:val="18"/>
                <w:szCs w:val="18"/>
              </w:rPr>
            </w:pPr>
            <w:r>
              <w:rPr>
                <w:rFonts w:hint="eastAsia" w:ascii="宋体" w:hAnsi="宋体" w:cs="宋体"/>
                <w:kern w:val="0"/>
                <w:sz w:val="18"/>
                <w:szCs w:val="18"/>
              </w:rPr>
              <w:t>　</w:t>
            </w:r>
          </w:p>
        </w:tc>
      </w:tr>
      <w:tr w14:paraId="6E31A059">
        <w:tblPrEx>
          <w:tblCellMar>
            <w:top w:w="0" w:type="dxa"/>
            <w:left w:w="108" w:type="dxa"/>
            <w:bottom w:w="0" w:type="dxa"/>
            <w:right w:w="108" w:type="dxa"/>
          </w:tblCellMar>
        </w:tblPrEx>
        <w:trPr>
          <w:trHeight w:val="765" w:hRule="atLeast"/>
        </w:trPr>
        <w:tc>
          <w:tcPr>
            <w:tcW w:w="740" w:type="dxa"/>
            <w:vMerge w:val="continue"/>
            <w:tcBorders>
              <w:top w:val="nil"/>
              <w:left w:val="single" w:color="auto" w:sz="4" w:space="0"/>
              <w:bottom w:val="single" w:color="auto" w:sz="4" w:space="0"/>
              <w:right w:val="single" w:color="auto" w:sz="4" w:space="0"/>
            </w:tcBorders>
            <w:vAlign w:val="center"/>
          </w:tcPr>
          <w:p w14:paraId="5E7DAE35">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60190A03">
            <w:pPr>
              <w:widowControl/>
              <w:jc w:val="left"/>
              <w:rPr>
                <w:rFonts w:ascii="宋体" w:hAnsi="宋体" w:cs="宋体"/>
                <w:kern w:val="0"/>
                <w:sz w:val="18"/>
                <w:szCs w:val="18"/>
              </w:rPr>
            </w:pPr>
          </w:p>
        </w:tc>
        <w:tc>
          <w:tcPr>
            <w:tcW w:w="900" w:type="dxa"/>
            <w:vMerge w:val="continue"/>
            <w:tcBorders>
              <w:top w:val="nil"/>
              <w:left w:val="single" w:color="auto" w:sz="4" w:space="0"/>
              <w:bottom w:val="single" w:color="auto" w:sz="4" w:space="0"/>
              <w:right w:val="single" w:color="auto" w:sz="4" w:space="0"/>
            </w:tcBorders>
            <w:vAlign w:val="center"/>
          </w:tcPr>
          <w:p w14:paraId="2DEFAE09">
            <w:pPr>
              <w:widowControl/>
              <w:jc w:val="left"/>
              <w:rPr>
                <w:rFonts w:ascii="宋体" w:hAnsi="宋体" w:cs="宋体"/>
                <w:kern w:val="0"/>
                <w:sz w:val="18"/>
                <w:szCs w:val="18"/>
              </w:rPr>
            </w:pPr>
          </w:p>
        </w:tc>
        <w:tc>
          <w:tcPr>
            <w:tcW w:w="2500" w:type="dxa"/>
            <w:tcBorders>
              <w:top w:val="nil"/>
              <w:left w:val="nil"/>
              <w:bottom w:val="single" w:color="auto" w:sz="4" w:space="0"/>
              <w:right w:val="single" w:color="auto" w:sz="4" w:space="0"/>
            </w:tcBorders>
            <w:shd w:val="clear" w:color="auto" w:fill="auto"/>
            <w:vAlign w:val="center"/>
          </w:tcPr>
          <w:p w14:paraId="302DE38F">
            <w:pPr>
              <w:widowControl/>
              <w:jc w:val="left"/>
              <w:rPr>
                <w:rFonts w:ascii="宋体" w:hAnsi="宋体" w:cs="宋体"/>
                <w:kern w:val="0"/>
                <w:sz w:val="18"/>
                <w:szCs w:val="18"/>
              </w:rPr>
            </w:pPr>
            <w:r>
              <w:rPr>
                <w:rFonts w:hint="eastAsia" w:ascii="宋体" w:hAnsi="宋体" w:cs="宋体"/>
                <w:kern w:val="0"/>
                <w:sz w:val="18"/>
                <w:szCs w:val="18"/>
              </w:rPr>
              <w:t>项目审查费用</w:t>
            </w:r>
          </w:p>
        </w:tc>
        <w:tc>
          <w:tcPr>
            <w:tcW w:w="1280" w:type="dxa"/>
            <w:tcBorders>
              <w:top w:val="nil"/>
              <w:left w:val="nil"/>
              <w:bottom w:val="single" w:color="auto" w:sz="4" w:space="0"/>
              <w:right w:val="single" w:color="auto" w:sz="4" w:space="0"/>
            </w:tcBorders>
            <w:shd w:val="clear" w:color="auto" w:fill="auto"/>
            <w:vAlign w:val="center"/>
          </w:tcPr>
          <w:p w14:paraId="3CA1885E">
            <w:pPr>
              <w:widowControl/>
              <w:jc w:val="left"/>
              <w:rPr>
                <w:rFonts w:ascii="宋体" w:hAnsi="宋体" w:cs="宋体"/>
                <w:kern w:val="0"/>
                <w:sz w:val="18"/>
                <w:szCs w:val="18"/>
              </w:rPr>
            </w:pPr>
            <w:r>
              <w:rPr>
                <w:rFonts w:hint="eastAsia" w:ascii="宋体" w:hAnsi="宋体" w:cs="宋体"/>
                <w:kern w:val="0"/>
                <w:sz w:val="18"/>
                <w:szCs w:val="18"/>
              </w:rPr>
              <w:t>5万元</w:t>
            </w:r>
          </w:p>
        </w:tc>
        <w:tc>
          <w:tcPr>
            <w:tcW w:w="1000" w:type="dxa"/>
            <w:tcBorders>
              <w:top w:val="nil"/>
              <w:left w:val="nil"/>
              <w:bottom w:val="single" w:color="auto" w:sz="4" w:space="0"/>
              <w:right w:val="single" w:color="auto" w:sz="4" w:space="0"/>
            </w:tcBorders>
            <w:shd w:val="clear" w:color="auto" w:fill="auto"/>
            <w:vAlign w:val="center"/>
          </w:tcPr>
          <w:p w14:paraId="6D84C481">
            <w:pPr>
              <w:widowControl/>
              <w:jc w:val="left"/>
              <w:rPr>
                <w:rFonts w:ascii="宋体" w:hAnsi="宋体" w:cs="宋体"/>
                <w:kern w:val="0"/>
                <w:sz w:val="18"/>
                <w:szCs w:val="18"/>
              </w:rPr>
            </w:pPr>
            <w:r>
              <w:rPr>
                <w:rFonts w:hint="eastAsia" w:ascii="宋体" w:hAnsi="宋体" w:cs="宋体"/>
                <w:kern w:val="0"/>
                <w:sz w:val="18"/>
                <w:szCs w:val="18"/>
              </w:rPr>
              <w:t>5万元</w:t>
            </w:r>
          </w:p>
        </w:tc>
        <w:tc>
          <w:tcPr>
            <w:tcW w:w="1060" w:type="dxa"/>
            <w:tcBorders>
              <w:top w:val="nil"/>
              <w:left w:val="nil"/>
              <w:bottom w:val="single" w:color="auto" w:sz="4" w:space="0"/>
              <w:right w:val="single" w:color="auto" w:sz="4" w:space="0"/>
            </w:tcBorders>
            <w:shd w:val="clear" w:color="auto" w:fill="auto"/>
            <w:vAlign w:val="center"/>
          </w:tcPr>
          <w:p w14:paraId="6F2CCB75">
            <w:pPr>
              <w:widowControl/>
              <w:jc w:val="center"/>
              <w:rPr>
                <w:rFonts w:ascii="宋体" w:hAnsi="宋体" w:cs="宋体"/>
                <w:kern w:val="0"/>
                <w:sz w:val="18"/>
                <w:szCs w:val="18"/>
              </w:rPr>
            </w:pPr>
            <w:r>
              <w:rPr>
                <w:rFonts w:hint="eastAsia" w:ascii="宋体" w:hAnsi="宋体" w:cs="宋体"/>
                <w:kern w:val="0"/>
                <w:sz w:val="18"/>
                <w:szCs w:val="18"/>
              </w:rPr>
              <w:t>100%</w:t>
            </w:r>
          </w:p>
        </w:tc>
        <w:tc>
          <w:tcPr>
            <w:tcW w:w="820" w:type="dxa"/>
            <w:tcBorders>
              <w:top w:val="nil"/>
              <w:left w:val="nil"/>
              <w:bottom w:val="single" w:color="auto" w:sz="4" w:space="0"/>
              <w:right w:val="single" w:color="auto" w:sz="4" w:space="0"/>
            </w:tcBorders>
            <w:shd w:val="clear" w:color="auto" w:fill="auto"/>
            <w:vAlign w:val="center"/>
          </w:tcPr>
          <w:p w14:paraId="7297AE8B">
            <w:pPr>
              <w:widowControl/>
              <w:jc w:val="left"/>
              <w:rPr>
                <w:rFonts w:ascii="宋体" w:hAnsi="宋体" w:cs="宋体"/>
                <w:kern w:val="0"/>
                <w:sz w:val="18"/>
                <w:szCs w:val="18"/>
              </w:rPr>
            </w:pPr>
            <w:r>
              <w:rPr>
                <w:rFonts w:hint="eastAsia" w:ascii="宋体" w:hAnsi="宋体" w:cs="宋体"/>
                <w:kern w:val="0"/>
                <w:sz w:val="18"/>
                <w:szCs w:val="18"/>
              </w:rPr>
              <w:t>　</w:t>
            </w:r>
          </w:p>
        </w:tc>
      </w:tr>
      <w:tr w14:paraId="7443788E">
        <w:tblPrEx>
          <w:tblCellMar>
            <w:top w:w="0" w:type="dxa"/>
            <w:left w:w="108" w:type="dxa"/>
            <w:bottom w:w="0" w:type="dxa"/>
            <w:right w:w="108" w:type="dxa"/>
          </w:tblCellMar>
        </w:tblPrEx>
        <w:trPr>
          <w:trHeight w:val="765" w:hRule="atLeast"/>
        </w:trPr>
        <w:tc>
          <w:tcPr>
            <w:tcW w:w="740" w:type="dxa"/>
            <w:vMerge w:val="continue"/>
            <w:tcBorders>
              <w:top w:val="nil"/>
              <w:left w:val="single" w:color="auto" w:sz="4" w:space="0"/>
              <w:bottom w:val="single" w:color="auto" w:sz="4" w:space="0"/>
              <w:right w:val="single" w:color="auto" w:sz="4" w:space="0"/>
            </w:tcBorders>
            <w:vAlign w:val="center"/>
          </w:tcPr>
          <w:p w14:paraId="2C6D953C">
            <w:pPr>
              <w:widowControl/>
              <w:jc w:val="left"/>
              <w:rPr>
                <w:rFonts w:ascii="宋体" w:hAnsi="宋体" w:cs="宋体"/>
                <w:kern w:val="0"/>
                <w:sz w:val="18"/>
                <w:szCs w:val="18"/>
              </w:rPr>
            </w:pP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66E83473">
            <w:pPr>
              <w:widowControl/>
              <w:jc w:val="center"/>
              <w:rPr>
                <w:rFonts w:ascii="宋体" w:hAnsi="宋体" w:cs="宋体"/>
                <w:kern w:val="0"/>
                <w:sz w:val="18"/>
                <w:szCs w:val="18"/>
              </w:rPr>
            </w:pPr>
            <w:r>
              <w:rPr>
                <w:rFonts w:hint="eastAsia" w:ascii="宋体" w:hAnsi="宋体" w:cs="宋体"/>
                <w:kern w:val="0"/>
                <w:sz w:val="18"/>
                <w:szCs w:val="18"/>
              </w:rPr>
              <w:t>项目效益</w:t>
            </w:r>
          </w:p>
        </w:tc>
        <w:tc>
          <w:tcPr>
            <w:tcW w:w="900" w:type="dxa"/>
            <w:tcBorders>
              <w:top w:val="nil"/>
              <w:left w:val="nil"/>
              <w:bottom w:val="single" w:color="auto" w:sz="4" w:space="0"/>
              <w:right w:val="single" w:color="auto" w:sz="4" w:space="0"/>
            </w:tcBorders>
            <w:shd w:val="clear" w:color="auto" w:fill="auto"/>
            <w:vAlign w:val="center"/>
          </w:tcPr>
          <w:p w14:paraId="7DBB6A28">
            <w:pPr>
              <w:widowControl/>
              <w:jc w:val="center"/>
              <w:rPr>
                <w:rFonts w:ascii="宋体" w:hAnsi="宋体" w:cs="宋体"/>
                <w:kern w:val="0"/>
                <w:sz w:val="18"/>
                <w:szCs w:val="18"/>
              </w:rPr>
            </w:pPr>
            <w:r>
              <w:rPr>
                <w:rFonts w:hint="eastAsia" w:ascii="宋体" w:hAnsi="宋体" w:cs="宋体"/>
                <w:kern w:val="0"/>
                <w:sz w:val="18"/>
                <w:szCs w:val="18"/>
              </w:rPr>
              <w:t>经济效益</w:t>
            </w:r>
            <w:r>
              <w:rPr>
                <w:rFonts w:hint="eastAsia" w:ascii="宋体" w:hAnsi="宋体" w:cs="宋体"/>
                <w:kern w:val="0"/>
                <w:sz w:val="18"/>
                <w:szCs w:val="18"/>
              </w:rPr>
              <w:br w:type="textWrapping"/>
            </w:r>
            <w:r>
              <w:rPr>
                <w:rFonts w:hint="eastAsia" w:ascii="宋体" w:hAnsi="宋体" w:cs="宋体"/>
                <w:kern w:val="0"/>
                <w:sz w:val="18"/>
                <w:szCs w:val="18"/>
              </w:rPr>
              <w:t>指标</w:t>
            </w:r>
          </w:p>
        </w:tc>
        <w:tc>
          <w:tcPr>
            <w:tcW w:w="2500" w:type="dxa"/>
            <w:tcBorders>
              <w:top w:val="nil"/>
              <w:left w:val="nil"/>
              <w:bottom w:val="single" w:color="auto" w:sz="4" w:space="0"/>
              <w:right w:val="single" w:color="auto" w:sz="4" w:space="0"/>
            </w:tcBorders>
            <w:shd w:val="clear" w:color="auto" w:fill="auto"/>
            <w:vAlign w:val="center"/>
          </w:tcPr>
          <w:p w14:paraId="7560D875">
            <w:pPr>
              <w:widowControl/>
              <w:jc w:val="left"/>
              <w:rPr>
                <w:rFonts w:ascii="宋体" w:hAnsi="宋体" w:cs="宋体"/>
                <w:kern w:val="0"/>
                <w:sz w:val="18"/>
                <w:szCs w:val="18"/>
              </w:rPr>
            </w:pPr>
            <w:r>
              <w:rPr>
                <w:rFonts w:hint="eastAsia" w:ascii="宋体" w:hAnsi="宋体" w:cs="宋体"/>
                <w:kern w:val="0"/>
                <w:sz w:val="18"/>
                <w:szCs w:val="18"/>
              </w:rPr>
              <w:t>规范省级财政资金管理，提高资金使用效益</w:t>
            </w:r>
          </w:p>
        </w:tc>
        <w:tc>
          <w:tcPr>
            <w:tcW w:w="1280" w:type="dxa"/>
            <w:tcBorders>
              <w:top w:val="nil"/>
              <w:left w:val="nil"/>
              <w:bottom w:val="single" w:color="auto" w:sz="4" w:space="0"/>
              <w:right w:val="single" w:color="auto" w:sz="4" w:space="0"/>
            </w:tcBorders>
            <w:shd w:val="clear" w:color="auto" w:fill="auto"/>
            <w:vAlign w:val="center"/>
          </w:tcPr>
          <w:p w14:paraId="2A6DD55E">
            <w:pPr>
              <w:widowControl/>
              <w:jc w:val="left"/>
              <w:rPr>
                <w:rFonts w:ascii="宋体" w:hAnsi="宋体" w:cs="宋体"/>
                <w:kern w:val="0"/>
                <w:sz w:val="18"/>
                <w:szCs w:val="18"/>
              </w:rPr>
            </w:pPr>
            <w:r>
              <w:rPr>
                <w:rFonts w:hint="eastAsia" w:ascii="宋体" w:hAnsi="宋体" w:cs="宋体"/>
                <w:kern w:val="0"/>
                <w:sz w:val="18"/>
                <w:szCs w:val="18"/>
              </w:rPr>
              <w:t>提高资金使用效益</w:t>
            </w:r>
          </w:p>
        </w:tc>
        <w:tc>
          <w:tcPr>
            <w:tcW w:w="1000" w:type="dxa"/>
            <w:tcBorders>
              <w:top w:val="nil"/>
              <w:left w:val="nil"/>
              <w:bottom w:val="single" w:color="auto" w:sz="4" w:space="0"/>
              <w:right w:val="single" w:color="auto" w:sz="4" w:space="0"/>
            </w:tcBorders>
            <w:shd w:val="clear" w:color="auto" w:fill="auto"/>
            <w:vAlign w:val="center"/>
          </w:tcPr>
          <w:p w14:paraId="07B6A9AA">
            <w:pPr>
              <w:widowControl/>
              <w:jc w:val="left"/>
              <w:rPr>
                <w:rFonts w:ascii="宋体" w:hAnsi="宋体" w:cs="宋体"/>
                <w:kern w:val="0"/>
                <w:sz w:val="18"/>
                <w:szCs w:val="18"/>
              </w:rPr>
            </w:pPr>
            <w:r>
              <w:rPr>
                <w:rFonts w:hint="eastAsia" w:ascii="宋体" w:hAnsi="宋体" w:cs="宋体"/>
                <w:kern w:val="0"/>
                <w:sz w:val="18"/>
                <w:szCs w:val="18"/>
              </w:rPr>
              <w:t>已完成</w:t>
            </w:r>
          </w:p>
        </w:tc>
        <w:tc>
          <w:tcPr>
            <w:tcW w:w="1060" w:type="dxa"/>
            <w:tcBorders>
              <w:top w:val="nil"/>
              <w:left w:val="nil"/>
              <w:bottom w:val="single" w:color="auto" w:sz="4" w:space="0"/>
              <w:right w:val="single" w:color="auto" w:sz="4" w:space="0"/>
            </w:tcBorders>
            <w:shd w:val="clear" w:color="auto" w:fill="auto"/>
            <w:vAlign w:val="center"/>
          </w:tcPr>
          <w:p w14:paraId="1128BF0B">
            <w:pPr>
              <w:widowControl/>
              <w:jc w:val="center"/>
              <w:rPr>
                <w:rFonts w:ascii="宋体" w:hAnsi="宋体" w:cs="宋体"/>
                <w:kern w:val="0"/>
                <w:sz w:val="18"/>
                <w:szCs w:val="18"/>
              </w:rPr>
            </w:pPr>
            <w:r>
              <w:rPr>
                <w:rFonts w:hint="eastAsia" w:ascii="宋体" w:hAnsi="宋体" w:cs="宋体"/>
                <w:kern w:val="0"/>
                <w:sz w:val="18"/>
                <w:szCs w:val="18"/>
              </w:rPr>
              <w:t>100%</w:t>
            </w:r>
          </w:p>
        </w:tc>
        <w:tc>
          <w:tcPr>
            <w:tcW w:w="820" w:type="dxa"/>
            <w:tcBorders>
              <w:top w:val="nil"/>
              <w:left w:val="nil"/>
              <w:bottom w:val="single" w:color="auto" w:sz="4" w:space="0"/>
              <w:right w:val="single" w:color="auto" w:sz="4" w:space="0"/>
            </w:tcBorders>
            <w:shd w:val="clear" w:color="auto" w:fill="auto"/>
            <w:vAlign w:val="center"/>
          </w:tcPr>
          <w:p w14:paraId="3AABDEA5">
            <w:pPr>
              <w:widowControl/>
              <w:jc w:val="left"/>
              <w:rPr>
                <w:rFonts w:ascii="宋体" w:hAnsi="宋体" w:cs="宋体"/>
                <w:kern w:val="0"/>
                <w:sz w:val="18"/>
                <w:szCs w:val="18"/>
              </w:rPr>
            </w:pPr>
            <w:r>
              <w:rPr>
                <w:rFonts w:hint="eastAsia" w:ascii="宋体" w:hAnsi="宋体" w:cs="宋体"/>
                <w:kern w:val="0"/>
                <w:sz w:val="18"/>
                <w:szCs w:val="18"/>
              </w:rPr>
              <w:t>　</w:t>
            </w:r>
          </w:p>
        </w:tc>
      </w:tr>
      <w:tr w14:paraId="6DE3AF21">
        <w:tblPrEx>
          <w:tblCellMar>
            <w:top w:w="0" w:type="dxa"/>
            <w:left w:w="108" w:type="dxa"/>
            <w:bottom w:w="0" w:type="dxa"/>
            <w:right w:w="108" w:type="dxa"/>
          </w:tblCellMar>
        </w:tblPrEx>
        <w:trPr>
          <w:trHeight w:val="765" w:hRule="atLeast"/>
        </w:trPr>
        <w:tc>
          <w:tcPr>
            <w:tcW w:w="740" w:type="dxa"/>
            <w:vMerge w:val="continue"/>
            <w:tcBorders>
              <w:top w:val="nil"/>
              <w:left w:val="single" w:color="auto" w:sz="4" w:space="0"/>
              <w:bottom w:val="single" w:color="auto" w:sz="4" w:space="0"/>
              <w:right w:val="single" w:color="auto" w:sz="4" w:space="0"/>
            </w:tcBorders>
            <w:vAlign w:val="center"/>
          </w:tcPr>
          <w:p w14:paraId="3420BB2B">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5527FE55">
            <w:pPr>
              <w:widowControl/>
              <w:jc w:val="left"/>
              <w:rPr>
                <w:rFonts w:ascii="宋体" w:hAnsi="宋体" w:cs="宋体"/>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14:paraId="568C371E">
            <w:pPr>
              <w:widowControl/>
              <w:jc w:val="center"/>
              <w:rPr>
                <w:rFonts w:ascii="宋体" w:hAnsi="宋体" w:cs="宋体"/>
                <w:kern w:val="0"/>
                <w:sz w:val="18"/>
                <w:szCs w:val="18"/>
              </w:rPr>
            </w:pPr>
            <w:r>
              <w:rPr>
                <w:rFonts w:hint="eastAsia" w:ascii="宋体" w:hAnsi="宋体" w:cs="宋体"/>
                <w:kern w:val="0"/>
                <w:sz w:val="18"/>
                <w:szCs w:val="18"/>
              </w:rPr>
              <w:t>社会效益</w:t>
            </w:r>
            <w:r>
              <w:rPr>
                <w:rFonts w:hint="eastAsia" w:ascii="宋体" w:hAnsi="宋体" w:cs="宋体"/>
                <w:kern w:val="0"/>
                <w:sz w:val="18"/>
                <w:szCs w:val="18"/>
              </w:rPr>
              <w:br w:type="textWrapping"/>
            </w:r>
            <w:r>
              <w:rPr>
                <w:rFonts w:hint="eastAsia" w:ascii="宋体" w:hAnsi="宋体" w:cs="宋体"/>
                <w:kern w:val="0"/>
                <w:sz w:val="18"/>
                <w:szCs w:val="18"/>
              </w:rPr>
              <w:t>指标</w:t>
            </w:r>
          </w:p>
        </w:tc>
        <w:tc>
          <w:tcPr>
            <w:tcW w:w="2500" w:type="dxa"/>
            <w:tcBorders>
              <w:top w:val="nil"/>
              <w:left w:val="nil"/>
              <w:bottom w:val="single" w:color="auto" w:sz="4" w:space="0"/>
              <w:right w:val="single" w:color="auto" w:sz="4" w:space="0"/>
            </w:tcBorders>
            <w:shd w:val="clear" w:color="auto" w:fill="auto"/>
            <w:vAlign w:val="center"/>
          </w:tcPr>
          <w:p w14:paraId="7F7C7863">
            <w:pPr>
              <w:widowControl/>
              <w:jc w:val="left"/>
              <w:rPr>
                <w:rFonts w:ascii="宋体" w:hAnsi="宋体" w:cs="宋体"/>
                <w:kern w:val="0"/>
                <w:sz w:val="18"/>
                <w:szCs w:val="18"/>
              </w:rPr>
            </w:pPr>
            <w:r>
              <w:rPr>
                <w:rFonts w:hint="eastAsia" w:ascii="宋体" w:hAnsi="宋体" w:cs="宋体"/>
                <w:kern w:val="0"/>
                <w:sz w:val="18"/>
                <w:szCs w:val="18"/>
              </w:rPr>
              <w:t>促进工业经济发展</w:t>
            </w:r>
          </w:p>
        </w:tc>
        <w:tc>
          <w:tcPr>
            <w:tcW w:w="1280" w:type="dxa"/>
            <w:tcBorders>
              <w:top w:val="nil"/>
              <w:left w:val="nil"/>
              <w:bottom w:val="single" w:color="auto" w:sz="4" w:space="0"/>
              <w:right w:val="single" w:color="auto" w:sz="4" w:space="0"/>
            </w:tcBorders>
            <w:shd w:val="clear" w:color="auto" w:fill="auto"/>
            <w:vAlign w:val="center"/>
          </w:tcPr>
          <w:p w14:paraId="697E18F7">
            <w:pPr>
              <w:widowControl/>
              <w:jc w:val="left"/>
              <w:rPr>
                <w:rFonts w:ascii="宋体" w:hAnsi="宋体" w:cs="宋体"/>
                <w:kern w:val="0"/>
                <w:sz w:val="18"/>
                <w:szCs w:val="18"/>
              </w:rPr>
            </w:pPr>
            <w:r>
              <w:rPr>
                <w:rFonts w:hint="eastAsia" w:ascii="宋体" w:hAnsi="宋体" w:cs="宋体"/>
                <w:kern w:val="0"/>
                <w:sz w:val="18"/>
                <w:szCs w:val="18"/>
              </w:rPr>
              <w:t>促进经济发展</w:t>
            </w:r>
          </w:p>
        </w:tc>
        <w:tc>
          <w:tcPr>
            <w:tcW w:w="1000" w:type="dxa"/>
            <w:tcBorders>
              <w:top w:val="nil"/>
              <w:left w:val="nil"/>
              <w:bottom w:val="single" w:color="auto" w:sz="4" w:space="0"/>
              <w:right w:val="single" w:color="auto" w:sz="4" w:space="0"/>
            </w:tcBorders>
            <w:shd w:val="clear" w:color="auto" w:fill="auto"/>
            <w:vAlign w:val="center"/>
          </w:tcPr>
          <w:p w14:paraId="672394D2">
            <w:pPr>
              <w:widowControl/>
              <w:jc w:val="left"/>
              <w:rPr>
                <w:rFonts w:ascii="宋体" w:hAnsi="宋体" w:cs="宋体"/>
                <w:kern w:val="0"/>
                <w:sz w:val="18"/>
                <w:szCs w:val="18"/>
              </w:rPr>
            </w:pPr>
            <w:r>
              <w:rPr>
                <w:rFonts w:hint="eastAsia" w:ascii="宋体" w:hAnsi="宋体" w:cs="宋体"/>
                <w:kern w:val="0"/>
                <w:sz w:val="18"/>
                <w:szCs w:val="18"/>
              </w:rPr>
              <w:t>已完成</w:t>
            </w:r>
          </w:p>
        </w:tc>
        <w:tc>
          <w:tcPr>
            <w:tcW w:w="1060" w:type="dxa"/>
            <w:tcBorders>
              <w:top w:val="nil"/>
              <w:left w:val="nil"/>
              <w:bottom w:val="single" w:color="auto" w:sz="4" w:space="0"/>
              <w:right w:val="single" w:color="auto" w:sz="4" w:space="0"/>
            </w:tcBorders>
            <w:shd w:val="clear" w:color="auto" w:fill="auto"/>
            <w:vAlign w:val="center"/>
          </w:tcPr>
          <w:p w14:paraId="12728645">
            <w:pPr>
              <w:widowControl/>
              <w:jc w:val="center"/>
              <w:rPr>
                <w:rFonts w:ascii="宋体" w:hAnsi="宋体" w:cs="宋体"/>
                <w:kern w:val="0"/>
                <w:sz w:val="18"/>
                <w:szCs w:val="18"/>
              </w:rPr>
            </w:pPr>
            <w:r>
              <w:rPr>
                <w:rFonts w:hint="eastAsia" w:ascii="宋体" w:hAnsi="宋体" w:cs="宋体"/>
                <w:kern w:val="0"/>
                <w:sz w:val="18"/>
                <w:szCs w:val="18"/>
              </w:rPr>
              <w:t>100%</w:t>
            </w:r>
          </w:p>
        </w:tc>
        <w:tc>
          <w:tcPr>
            <w:tcW w:w="820" w:type="dxa"/>
            <w:tcBorders>
              <w:top w:val="nil"/>
              <w:left w:val="nil"/>
              <w:bottom w:val="single" w:color="auto" w:sz="4" w:space="0"/>
              <w:right w:val="single" w:color="auto" w:sz="4" w:space="0"/>
            </w:tcBorders>
            <w:shd w:val="clear" w:color="auto" w:fill="auto"/>
            <w:vAlign w:val="center"/>
          </w:tcPr>
          <w:p w14:paraId="6FFDF8B5">
            <w:pPr>
              <w:widowControl/>
              <w:jc w:val="left"/>
              <w:rPr>
                <w:rFonts w:ascii="宋体" w:hAnsi="宋体" w:cs="宋体"/>
                <w:kern w:val="0"/>
                <w:sz w:val="18"/>
                <w:szCs w:val="18"/>
              </w:rPr>
            </w:pPr>
            <w:r>
              <w:rPr>
                <w:rFonts w:hint="eastAsia" w:ascii="宋体" w:hAnsi="宋体" w:cs="宋体"/>
                <w:kern w:val="0"/>
                <w:sz w:val="18"/>
                <w:szCs w:val="18"/>
              </w:rPr>
              <w:t>　</w:t>
            </w:r>
          </w:p>
        </w:tc>
      </w:tr>
      <w:tr w14:paraId="340D0B23">
        <w:tblPrEx>
          <w:tblCellMar>
            <w:top w:w="0" w:type="dxa"/>
            <w:left w:w="108" w:type="dxa"/>
            <w:bottom w:w="0" w:type="dxa"/>
            <w:right w:w="108" w:type="dxa"/>
          </w:tblCellMar>
        </w:tblPrEx>
        <w:trPr>
          <w:trHeight w:val="765" w:hRule="atLeast"/>
        </w:trPr>
        <w:tc>
          <w:tcPr>
            <w:tcW w:w="740" w:type="dxa"/>
            <w:vMerge w:val="continue"/>
            <w:tcBorders>
              <w:top w:val="nil"/>
              <w:left w:val="single" w:color="auto" w:sz="4" w:space="0"/>
              <w:bottom w:val="single" w:color="auto" w:sz="4" w:space="0"/>
              <w:right w:val="single" w:color="auto" w:sz="4" w:space="0"/>
            </w:tcBorders>
            <w:vAlign w:val="center"/>
          </w:tcPr>
          <w:p w14:paraId="2B3B72FA">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405AADC8">
            <w:pPr>
              <w:widowControl/>
              <w:jc w:val="left"/>
              <w:rPr>
                <w:rFonts w:ascii="宋体" w:hAnsi="宋体" w:cs="宋体"/>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14:paraId="21CC71F4">
            <w:pPr>
              <w:widowControl/>
              <w:jc w:val="center"/>
              <w:rPr>
                <w:rFonts w:ascii="宋体" w:hAnsi="宋体" w:cs="宋体"/>
                <w:kern w:val="0"/>
                <w:sz w:val="18"/>
                <w:szCs w:val="18"/>
              </w:rPr>
            </w:pPr>
            <w:r>
              <w:rPr>
                <w:rFonts w:hint="eastAsia" w:ascii="宋体" w:hAnsi="宋体" w:cs="宋体"/>
                <w:kern w:val="0"/>
                <w:sz w:val="18"/>
                <w:szCs w:val="18"/>
              </w:rPr>
              <w:t>生态效益</w:t>
            </w:r>
            <w:r>
              <w:rPr>
                <w:rFonts w:hint="eastAsia" w:ascii="宋体" w:hAnsi="宋体" w:cs="宋体"/>
                <w:kern w:val="0"/>
                <w:sz w:val="18"/>
                <w:szCs w:val="18"/>
              </w:rPr>
              <w:br w:type="textWrapping"/>
            </w:r>
            <w:r>
              <w:rPr>
                <w:rFonts w:hint="eastAsia" w:ascii="宋体" w:hAnsi="宋体" w:cs="宋体"/>
                <w:kern w:val="0"/>
                <w:sz w:val="18"/>
                <w:szCs w:val="18"/>
              </w:rPr>
              <w:t>指标</w:t>
            </w:r>
          </w:p>
        </w:tc>
        <w:tc>
          <w:tcPr>
            <w:tcW w:w="2500" w:type="dxa"/>
            <w:tcBorders>
              <w:top w:val="nil"/>
              <w:left w:val="nil"/>
              <w:bottom w:val="single" w:color="auto" w:sz="4" w:space="0"/>
              <w:right w:val="single" w:color="auto" w:sz="4" w:space="0"/>
            </w:tcBorders>
            <w:shd w:val="clear" w:color="auto" w:fill="auto"/>
            <w:vAlign w:val="center"/>
          </w:tcPr>
          <w:p w14:paraId="74B8C36D">
            <w:pPr>
              <w:widowControl/>
              <w:jc w:val="left"/>
              <w:rPr>
                <w:rFonts w:ascii="宋体" w:hAnsi="宋体" w:cs="宋体"/>
                <w:kern w:val="0"/>
                <w:sz w:val="18"/>
                <w:szCs w:val="18"/>
              </w:rPr>
            </w:pPr>
            <w:r>
              <w:rPr>
                <w:rFonts w:hint="eastAsia" w:ascii="宋体" w:hAnsi="宋体" w:cs="宋体"/>
                <w:kern w:val="0"/>
                <w:sz w:val="18"/>
                <w:szCs w:val="18"/>
              </w:rPr>
              <w:t>提升工业和信息化领域节能减排管理水平</w:t>
            </w:r>
          </w:p>
        </w:tc>
        <w:tc>
          <w:tcPr>
            <w:tcW w:w="1280" w:type="dxa"/>
            <w:tcBorders>
              <w:top w:val="nil"/>
              <w:left w:val="nil"/>
              <w:bottom w:val="single" w:color="auto" w:sz="4" w:space="0"/>
              <w:right w:val="single" w:color="auto" w:sz="4" w:space="0"/>
            </w:tcBorders>
            <w:shd w:val="clear" w:color="auto" w:fill="auto"/>
            <w:vAlign w:val="center"/>
          </w:tcPr>
          <w:p w14:paraId="45E4DD8D">
            <w:pPr>
              <w:widowControl/>
              <w:jc w:val="left"/>
              <w:rPr>
                <w:rFonts w:ascii="宋体" w:hAnsi="宋体" w:cs="宋体"/>
                <w:kern w:val="0"/>
                <w:sz w:val="18"/>
                <w:szCs w:val="18"/>
              </w:rPr>
            </w:pPr>
            <w:r>
              <w:rPr>
                <w:rFonts w:hint="eastAsia" w:ascii="宋体" w:hAnsi="宋体" w:cs="宋体"/>
                <w:kern w:val="0"/>
                <w:sz w:val="18"/>
                <w:szCs w:val="18"/>
              </w:rPr>
              <w:t>持续低碳节能</w:t>
            </w:r>
          </w:p>
        </w:tc>
        <w:tc>
          <w:tcPr>
            <w:tcW w:w="1000" w:type="dxa"/>
            <w:tcBorders>
              <w:top w:val="nil"/>
              <w:left w:val="nil"/>
              <w:bottom w:val="single" w:color="auto" w:sz="4" w:space="0"/>
              <w:right w:val="single" w:color="auto" w:sz="4" w:space="0"/>
            </w:tcBorders>
            <w:shd w:val="clear" w:color="auto" w:fill="auto"/>
            <w:vAlign w:val="center"/>
          </w:tcPr>
          <w:p w14:paraId="048ACEA9">
            <w:pPr>
              <w:widowControl/>
              <w:jc w:val="left"/>
              <w:rPr>
                <w:rFonts w:ascii="宋体" w:hAnsi="宋体" w:cs="宋体"/>
                <w:kern w:val="0"/>
                <w:sz w:val="18"/>
                <w:szCs w:val="18"/>
              </w:rPr>
            </w:pPr>
            <w:r>
              <w:rPr>
                <w:rFonts w:hint="eastAsia" w:ascii="宋体" w:hAnsi="宋体" w:cs="宋体"/>
                <w:kern w:val="0"/>
                <w:sz w:val="18"/>
                <w:szCs w:val="18"/>
              </w:rPr>
              <w:t>已完成</w:t>
            </w:r>
          </w:p>
        </w:tc>
        <w:tc>
          <w:tcPr>
            <w:tcW w:w="1060" w:type="dxa"/>
            <w:tcBorders>
              <w:top w:val="nil"/>
              <w:left w:val="nil"/>
              <w:bottom w:val="single" w:color="auto" w:sz="4" w:space="0"/>
              <w:right w:val="single" w:color="auto" w:sz="4" w:space="0"/>
            </w:tcBorders>
            <w:shd w:val="clear" w:color="auto" w:fill="auto"/>
            <w:vAlign w:val="center"/>
          </w:tcPr>
          <w:p w14:paraId="1BE2FECA">
            <w:pPr>
              <w:widowControl/>
              <w:jc w:val="center"/>
              <w:rPr>
                <w:rFonts w:ascii="宋体" w:hAnsi="宋体" w:cs="宋体"/>
                <w:kern w:val="0"/>
                <w:sz w:val="18"/>
                <w:szCs w:val="18"/>
              </w:rPr>
            </w:pPr>
            <w:r>
              <w:rPr>
                <w:rFonts w:hint="eastAsia" w:ascii="宋体" w:hAnsi="宋体" w:cs="宋体"/>
                <w:kern w:val="0"/>
                <w:sz w:val="18"/>
                <w:szCs w:val="18"/>
              </w:rPr>
              <w:t>100%</w:t>
            </w:r>
          </w:p>
        </w:tc>
        <w:tc>
          <w:tcPr>
            <w:tcW w:w="820" w:type="dxa"/>
            <w:tcBorders>
              <w:top w:val="nil"/>
              <w:left w:val="nil"/>
              <w:bottom w:val="single" w:color="auto" w:sz="4" w:space="0"/>
              <w:right w:val="single" w:color="auto" w:sz="4" w:space="0"/>
            </w:tcBorders>
            <w:shd w:val="clear" w:color="auto" w:fill="auto"/>
            <w:vAlign w:val="center"/>
          </w:tcPr>
          <w:p w14:paraId="7B07108C">
            <w:pPr>
              <w:widowControl/>
              <w:jc w:val="left"/>
              <w:rPr>
                <w:rFonts w:ascii="宋体" w:hAnsi="宋体" w:cs="宋体"/>
                <w:kern w:val="0"/>
                <w:sz w:val="18"/>
                <w:szCs w:val="18"/>
              </w:rPr>
            </w:pPr>
            <w:r>
              <w:rPr>
                <w:rFonts w:hint="eastAsia" w:ascii="宋体" w:hAnsi="宋体" w:cs="宋体"/>
                <w:kern w:val="0"/>
                <w:sz w:val="18"/>
                <w:szCs w:val="18"/>
              </w:rPr>
              <w:t>　</w:t>
            </w:r>
          </w:p>
        </w:tc>
      </w:tr>
      <w:tr w14:paraId="0378E7DF">
        <w:tblPrEx>
          <w:tblCellMar>
            <w:top w:w="0" w:type="dxa"/>
            <w:left w:w="108" w:type="dxa"/>
            <w:bottom w:w="0" w:type="dxa"/>
            <w:right w:w="108" w:type="dxa"/>
          </w:tblCellMar>
        </w:tblPrEx>
        <w:trPr>
          <w:trHeight w:val="765" w:hRule="atLeast"/>
        </w:trPr>
        <w:tc>
          <w:tcPr>
            <w:tcW w:w="740" w:type="dxa"/>
            <w:vMerge w:val="continue"/>
            <w:tcBorders>
              <w:top w:val="nil"/>
              <w:left w:val="single" w:color="auto" w:sz="4" w:space="0"/>
              <w:bottom w:val="single" w:color="auto" w:sz="4" w:space="0"/>
              <w:right w:val="single" w:color="auto" w:sz="4" w:space="0"/>
            </w:tcBorders>
            <w:vAlign w:val="center"/>
          </w:tcPr>
          <w:p w14:paraId="73AD4568">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7BA95A52">
            <w:pPr>
              <w:widowControl/>
              <w:jc w:val="left"/>
              <w:rPr>
                <w:rFonts w:ascii="宋体" w:hAnsi="宋体" w:cs="宋体"/>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14:paraId="05069CF9">
            <w:pPr>
              <w:widowControl/>
              <w:jc w:val="center"/>
              <w:rPr>
                <w:rFonts w:ascii="宋体" w:hAnsi="宋体" w:cs="宋体"/>
                <w:kern w:val="0"/>
                <w:sz w:val="18"/>
                <w:szCs w:val="18"/>
              </w:rPr>
            </w:pPr>
            <w:r>
              <w:rPr>
                <w:rFonts w:hint="eastAsia" w:ascii="宋体" w:hAnsi="宋体" w:cs="宋体"/>
                <w:kern w:val="0"/>
                <w:sz w:val="18"/>
                <w:szCs w:val="18"/>
              </w:rPr>
              <w:t>可持续影响</w:t>
            </w:r>
            <w:r>
              <w:rPr>
                <w:rFonts w:hint="eastAsia" w:ascii="宋体" w:hAnsi="宋体" w:cs="宋体"/>
                <w:kern w:val="0"/>
                <w:sz w:val="18"/>
                <w:szCs w:val="18"/>
              </w:rPr>
              <w:br w:type="textWrapping"/>
            </w:r>
            <w:r>
              <w:rPr>
                <w:rFonts w:hint="eastAsia" w:ascii="宋体" w:hAnsi="宋体" w:cs="宋体"/>
                <w:kern w:val="0"/>
                <w:sz w:val="18"/>
                <w:szCs w:val="18"/>
              </w:rPr>
              <w:t>指标</w:t>
            </w:r>
          </w:p>
        </w:tc>
        <w:tc>
          <w:tcPr>
            <w:tcW w:w="2500" w:type="dxa"/>
            <w:tcBorders>
              <w:top w:val="nil"/>
              <w:left w:val="nil"/>
              <w:bottom w:val="single" w:color="auto" w:sz="4" w:space="0"/>
              <w:right w:val="single" w:color="auto" w:sz="4" w:space="0"/>
            </w:tcBorders>
            <w:shd w:val="clear" w:color="auto" w:fill="auto"/>
            <w:vAlign w:val="center"/>
          </w:tcPr>
          <w:p w14:paraId="29ED276C">
            <w:pPr>
              <w:widowControl/>
              <w:jc w:val="left"/>
              <w:rPr>
                <w:rFonts w:ascii="宋体" w:hAnsi="宋体" w:cs="宋体"/>
                <w:kern w:val="0"/>
                <w:sz w:val="18"/>
                <w:szCs w:val="18"/>
              </w:rPr>
            </w:pPr>
            <w:r>
              <w:rPr>
                <w:rFonts w:hint="eastAsia" w:ascii="宋体" w:hAnsi="宋体" w:cs="宋体"/>
                <w:kern w:val="0"/>
                <w:sz w:val="18"/>
                <w:szCs w:val="18"/>
              </w:rPr>
              <w:t>促进工业经济与生态环境的可持续发展</w:t>
            </w:r>
          </w:p>
        </w:tc>
        <w:tc>
          <w:tcPr>
            <w:tcW w:w="1280" w:type="dxa"/>
            <w:tcBorders>
              <w:top w:val="nil"/>
              <w:left w:val="nil"/>
              <w:bottom w:val="single" w:color="auto" w:sz="4" w:space="0"/>
              <w:right w:val="single" w:color="auto" w:sz="4" w:space="0"/>
            </w:tcBorders>
            <w:shd w:val="clear" w:color="auto" w:fill="auto"/>
            <w:vAlign w:val="center"/>
          </w:tcPr>
          <w:p w14:paraId="2D2738D3">
            <w:pPr>
              <w:widowControl/>
              <w:jc w:val="left"/>
              <w:rPr>
                <w:rFonts w:ascii="宋体" w:hAnsi="宋体" w:cs="宋体"/>
                <w:kern w:val="0"/>
                <w:sz w:val="18"/>
                <w:szCs w:val="18"/>
              </w:rPr>
            </w:pPr>
            <w:r>
              <w:rPr>
                <w:rFonts w:hint="eastAsia" w:ascii="宋体" w:hAnsi="宋体" w:cs="宋体"/>
                <w:kern w:val="0"/>
                <w:sz w:val="18"/>
                <w:szCs w:val="18"/>
              </w:rPr>
              <w:t>可持续发展</w:t>
            </w:r>
          </w:p>
        </w:tc>
        <w:tc>
          <w:tcPr>
            <w:tcW w:w="1000" w:type="dxa"/>
            <w:tcBorders>
              <w:top w:val="nil"/>
              <w:left w:val="nil"/>
              <w:bottom w:val="single" w:color="auto" w:sz="4" w:space="0"/>
              <w:right w:val="single" w:color="auto" w:sz="4" w:space="0"/>
            </w:tcBorders>
            <w:shd w:val="clear" w:color="auto" w:fill="auto"/>
            <w:vAlign w:val="center"/>
          </w:tcPr>
          <w:p w14:paraId="6DC3D731">
            <w:pPr>
              <w:widowControl/>
              <w:jc w:val="left"/>
              <w:rPr>
                <w:rFonts w:ascii="宋体" w:hAnsi="宋体" w:cs="宋体"/>
                <w:kern w:val="0"/>
                <w:sz w:val="18"/>
                <w:szCs w:val="18"/>
              </w:rPr>
            </w:pPr>
            <w:r>
              <w:rPr>
                <w:rFonts w:hint="eastAsia" w:ascii="宋体" w:hAnsi="宋体" w:cs="宋体"/>
                <w:kern w:val="0"/>
                <w:sz w:val="18"/>
                <w:szCs w:val="18"/>
              </w:rPr>
              <w:t>已完成</w:t>
            </w:r>
          </w:p>
        </w:tc>
        <w:tc>
          <w:tcPr>
            <w:tcW w:w="1060" w:type="dxa"/>
            <w:tcBorders>
              <w:top w:val="nil"/>
              <w:left w:val="nil"/>
              <w:bottom w:val="single" w:color="auto" w:sz="4" w:space="0"/>
              <w:right w:val="single" w:color="auto" w:sz="4" w:space="0"/>
            </w:tcBorders>
            <w:shd w:val="clear" w:color="auto" w:fill="auto"/>
            <w:vAlign w:val="center"/>
          </w:tcPr>
          <w:p w14:paraId="7EC1561A">
            <w:pPr>
              <w:widowControl/>
              <w:jc w:val="center"/>
              <w:rPr>
                <w:rFonts w:ascii="宋体" w:hAnsi="宋体" w:cs="宋体"/>
                <w:kern w:val="0"/>
                <w:sz w:val="18"/>
                <w:szCs w:val="18"/>
              </w:rPr>
            </w:pPr>
            <w:r>
              <w:rPr>
                <w:rFonts w:hint="eastAsia" w:ascii="宋体" w:hAnsi="宋体" w:cs="宋体"/>
                <w:kern w:val="0"/>
                <w:sz w:val="18"/>
                <w:szCs w:val="18"/>
              </w:rPr>
              <w:t>100%</w:t>
            </w:r>
          </w:p>
        </w:tc>
        <w:tc>
          <w:tcPr>
            <w:tcW w:w="820" w:type="dxa"/>
            <w:tcBorders>
              <w:top w:val="nil"/>
              <w:left w:val="nil"/>
              <w:bottom w:val="single" w:color="auto" w:sz="4" w:space="0"/>
              <w:right w:val="single" w:color="auto" w:sz="4" w:space="0"/>
            </w:tcBorders>
            <w:shd w:val="clear" w:color="auto" w:fill="auto"/>
            <w:vAlign w:val="center"/>
          </w:tcPr>
          <w:p w14:paraId="5B2E0C7E">
            <w:pPr>
              <w:widowControl/>
              <w:jc w:val="left"/>
              <w:rPr>
                <w:rFonts w:ascii="宋体" w:hAnsi="宋体" w:cs="宋体"/>
                <w:kern w:val="0"/>
                <w:sz w:val="18"/>
                <w:szCs w:val="18"/>
              </w:rPr>
            </w:pPr>
            <w:r>
              <w:rPr>
                <w:rFonts w:hint="eastAsia" w:ascii="宋体" w:hAnsi="宋体" w:cs="宋体"/>
                <w:kern w:val="0"/>
                <w:sz w:val="18"/>
                <w:szCs w:val="18"/>
              </w:rPr>
              <w:t>　</w:t>
            </w:r>
          </w:p>
        </w:tc>
      </w:tr>
      <w:tr w14:paraId="400AD713">
        <w:tblPrEx>
          <w:tblCellMar>
            <w:top w:w="0" w:type="dxa"/>
            <w:left w:w="108" w:type="dxa"/>
            <w:bottom w:w="0" w:type="dxa"/>
            <w:right w:w="108" w:type="dxa"/>
          </w:tblCellMar>
        </w:tblPrEx>
        <w:trPr>
          <w:trHeight w:val="765" w:hRule="atLeast"/>
        </w:trPr>
        <w:tc>
          <w:tcPr>
            <w:tcW w:w="740" w:type="dxa"/>
            <w:vMerge w:val="continue"/>
            <w:tcBorders>
              <w:top w:val="nil"/>
              <w:left w:val="single" w:color="auto" w:sz="4" w:space="0"/>
              <w:bottom w:val="single" w:color="auto" w:sz="4" w:space="0"/>
              <w:right w:val="single" w:color="auto" w:sz="4" w:space="0"/>
            </w:tcBorders>
            <w:vAlign w:val="center"/>
          </w:tcPr>
          <w:p w14:paraId="7F90AF22">
            <w:pPr>
              <w:widowControl/>
              <w:jc w:val="left"/>
              <w:rPr>
                <w:rFonts w:ascii="宋体" w:hAnsi="宋体" w:cs="宋体"/>
                <w:kern w:val="0"/>
                <w:sz w:val="18"/>
                <w:szCs w:val="18"/>
              </w:rPr>
            </w:pP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66D97CA7">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900" w:type="dxa"/>
            <w:vMerge w:val="restart"/>
            <w:tcBorders>
              <w:top w:val="nil"/>
              <w:left w:val="single" w:color="auto" w:sz="4" w:space="0"/>
              <w:bottom w:val="single" w:color="auto" w:sz="4" w:space="0"/>
              <w:right w:val="single" w:color="auto" w:sz="4" w:space="0"/>
            </w:tcBorders>
            <w:shd w:val="clear" w:color="auto" w:fill="auto"/>
            <w:vAlign w:val="center"/>
          </w:tcPr>
          <w:p w14:paraId="5622060C">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500" w:type="dxa"/>
            <w:tcBorders>
              <w:top w:val="nil"/>
              <w:left w:val="nil"/>
              <w:bottom w:val="single" w:color="auto" w:sz="4" w:space="0"/>
              <w:right w:val="single" w:color="auto" w:sz="4" w:space="0"/>
            </w:tcBorders>
            <w:shd w:val="clear" w:color="auto" w:fill="auto"/>
            <w:vAlign w:val="center"/>
          </w:tcPr>
          <w:p w14:paraId="3AAF4FCA">
            <w:pPr>
              <w:widowControl/>
              <w:jc w:val="left"/>
              <w:rPr>
                <w:rFonts w:ascii="宋体" w:hAnsi="宋体" w:cs="宋体"/>
                <w:kern w:val="0"/>
                <w:sz w:val="18"/>
                <w:szCs w:val="18"/>
              </w:rPr>
            </w:pPr>
            <w:r>
              <w:rPr>
                <w:rFonts w:hint="eastAsia" w:ascii="宋体" w:hAnsi="宋体" w:cs="宋体"/>
                <w:kern w:val="0"/>
                <w:sz w:val="18"/>
                <w:szCs w:val="18"/>
              </w:rPr>
              <w:t>企业满意度</w:t>
            </w:r>
          </w:p>
        </w:tc>
        <w:tc>
          <w:tcPr>
            <w:tcW w:w="1280" w:type="dxa"/>
            <w:tcBorders>
              <w:top w:val="nil"/>
              <w:left w:val="nil"/>
              <w:bottom w:val="single" w:color="auto" w:sz="4" w:space="0"/>
              <w:right w:val="single" w:color="auto" w:sz="4" w:space="0"/>
            </w:tcBorders>
            <w:shd w:val="clear" w:color="auto" w:fill="auto"/>
            <w:vAlign w:val="center"/>
          </w:tcPr>
          <w:p w14:paraId="3EEFBAAB">
            <w:pPr>
              <w:widowControl/>
              <w:jc w:val="left"/>
              <w:rPr>
                <w:rFonts w:ascii="宋体" w:hAnsi="宋体" w:cs="宋体"/>
                <w:kern w:val="0"/>
                <w:sz w:val="18"/>
                <w:szCs w:val="18"/>
              </w:rPr>
            </w:pPr>
            <w:r>
              <w:rPr>
                <w:rFonts w:hint="eastAsia" w:ascii="宋体" w:hAnsi="宋体" w:cs="宋体"/>
                <w:kern w:val="0"/>
                <w:sz w:val="18"/>
                <w:szCs w:val="18"/>
              </w:rPr>
              <w:t>≥95%</w:t>
            </w:r>
          </w:p>
        </w:tc>
        <w:tc>
          <w:tcPr>
            <w:tcW w:w="1000" w:type="dxa"/>
            <w:tcBorders>
              <w:top w:val="nil"/>
              <w:left w:val="nil"/>
              <w:bottom w:val="single" w:color="auto" w:sz="4" w:space="0"/>
              <w:right w:val="single" w:color="auto" w:sz="4" w:space="0"/>
            </w:tcBorders>
            <w:shd w:val="clear" w:color="auto" w:fill="auto"/>
            <w:vAlign w:val="center"/>
          </w:tcPr>
          <w:p w14:paraId="2FDEAB51">
            <w:pPr>
              <w:widowControl/>
              <w:jc w:val="left"/>
              <w:rPr>
                <w:rFonts w:ascii="宋体" w:hAnsi="宋体" w:cs="宋体"/>
                <w:kern w:val="0"/>
                <w:sz w:val="18"/>
                <w:szCs w:val="18"/>
              </w:rPr>
            </w:pPr>
            <w:r>
              <w:rPr>
                <w:rFonts w:hint="eastAsia" w:ascii="宋体" w:hAnsi="宋体" w:cs="宋体"/>
                <w:kern w:val="0"/>
                <w:sz w:val="18"/>
                <w:szCs w:val="18"/>
              </w:rPr>
              <w:t>满意</w:t>
            </w:r>
          </w:p>
        </w:tc>
        <w:tc>
          <w:tcPr>
            <w:tcW w:w="1060" w:type="dxa"/>
            <w:tcBorders>
              <w:top w:val="nil"/>
              <w:left w:val="nil"/>
              <w:bottom w:val="single" w:color="auto" w:sz="4" w:space="0"/>
              <w:right w:val="single" w:color="auto" w:sz="4" w:space="0"/>
            </w:tcBorders>
            <w:shd w:val="clear" w:color="auto" w:fill="auto"/>
            <w:vAlign w:val="center"/>
          </w:tcPr>
          <w:p w14:paraId="1153F537">
            <w:pPr>
              <w:widowControl/>
              <w:jc w:val="center"/>
              <w:rPr>
                <w:rFonts w:ascii="宋体" w:hAnsi="宋体" w:cs="宋体"/>
                <w:kern w:val="0"/>
                <w:sz w:val="18"/>
                <w:szCs w:val="18"/>
              </w:rPr>
            </w:pPr>
            <w:r>
              <w:rPr>
                <w:rFonts w:hint="eastAsia" w:ascii="宋体" w:hAnsi="宋体" w:cs="宋体"/>
                <w:kern w:val="0"/>
                <w:sz w:val="18"/>
                <w:szCs w:val="18"/>
              </w:rPr>
              <w:t>100%</w:t>
            </w:r>
          </w:p>
        </w:tc>
        <w:tc>
          <w:tcPr>
            <w:tcW w:w="820" w:type="dxa"/>
            <w:tcBorders>
              <w:top w:val="nil"/>
              <w:left w:val="nil"/>
              <w:bottom w:val="single" w:color="auto" w:sz="4" w:space="0"/>
              <w:right w:val="single" w:color="auto" w:sz="4" w:space="0"/>
            </w:tcBorders>
            <w:shd w:val="clear" w:color="auto" w:fill="auto"/>
            <w:vAlign w:val="center"/>
          </w:tcPr>
          <w:p w14:paraId="63233268">
            <w:pPr>
              <w:widowControl/>
              <w:jc w:val="left"/>
              <w:rPr>
                <w:rFonts w:ascii="宋体" w:hAnsi="宋体" w:cs="宋体"/>
                <w:kern w:val="0"/>
                <w:sz w:val="18"/>
                <w:szCs w:val="18"/>
              </w:rPr>
            </w:pPr>
            <w:r>
              <w:rPr>
                <w:rFonts w:hint="eastAsia" w:ascii="宋体" w:hAnsi="宋体" w:cs="宋体"/>
                <w:kern w:val="0"/>
                <w:sz w:val="18"/>
                <w:szCs w:val="18"/>
              </w:rPr>
              <w:t>　</w:t>
            </w:r>
          </w:p>
        </w:tc>
      </w:tr>
      <w:tr w14:paraId="2BEAC189">
        <w:tblPrEx>
          <w:tblCellMar>
            <w:top w:w="0" w:type="dxa"/>
            <w:left w:w="108" w:type="dxa"/>
            <w:bottom w:w="0" w:type="dxa"/>
            <w:right w:w="108" w:type="dxa"/>
          </w:tblCellMar>
        </w:tblPrEx>
        <w:trPr>
          <w:trHeight w:val="765" w:hRule="atLeast"/>
        </w:trPr>
        <w:tc>
          <w:tcPr>
            <w:tcW w:w="740" w:type="dxa"/>
            <w:vMerge w:val="continue"/>
            <w:tcBorders>
              <w:top w:val="nil"/>
              <w:left w:val="single" w:color="auto" w:sz="4" w:space="0"/>
              <w:bottom w:val="single" w:color="auto" w:sz="4" w:space="0"/>
              <w:right w:val="single" w:color="auto" w:sz="4" w:space="0"/>
            </w:tcBorders>
            <w:vAlign w:val="center"/>
          </w:tcPr>
          <w:p w14:paraId="6FA79FBB">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28F63543">
            <w:pPr>
              <w:widowControl/>
              <w:jc w:val="left"/>
              <w:rPr>
                <w:rFonts w:ascii="宋体" w:hAnsi="宋体" w:cs="宋体"/>
                <w:kern w:val="0"/>
                <w:sz w:val="18"/>
                <w:szCs w:val="18"/>
              </w:rPr>
            </w:pPr>
          </w:p>
        </w:tc>
        <w:tc>
          <w:tcPr>
            <w:tcW w:w="900" w:type="dxa"/>
            <w:vMerge w:val="continue"/>
            <w:tcBorders>
              <w:top w:val="nil"/>
              <w:left w:val="single" w:color="auto" w:sz="4" w:space="0"/>
              <w:bottom w:val="single" w:color="auto" w:sz="4" w:space="0"/>
              <w:right w:val="single" w:color="auto" w:sz="4" w:space="0"/>
            </w:tcBorders>
            <w:vAlign w:val="center"/>
          </w:tcPr>
          <w:p w14:paraId="1FEFACF9">
            <w:pPr>
              <w:widowControl/>
              <w:jc w:val="left"/>
              <w:rPr>
                <w:rFonts w:ascii="宋体" w:hAnsi="宋体" w:cs="宋体"/>
                <w:kern w:val="0"/>
                <w:sz w:val="18"/>
                <w:szCs w:val="18"/>
              </w:rPr>
            </w:pPr>
          </w:p>
        </w:tc>
        <w:tc>
          <w:tcPr>
            <w:tcW w:w="2500" w:type="dxa"/>
            <w:tcBorders>
              <w:top w:val="nil"/>
              <w:left w:val="nil"/>
              <w:bottom w:val="single" w:color="auto" w:sz="4" w:space="0"/>
              <w:right w:val="single" w:color="auto" w:sz="4" w:space="0"/>
            </w:tcBorders>
            <w:shd w:val="clear" w:color="auto" w:fill="auto"/>
            <w:vAlign w:val="center"/>
          </w:tcPr>
          <w:p w14:paraId="1EA99F04">
            <w:pPr>
              <w:widowControl/>
              <w:jc w:val="left"/>
              <w:rPr>
                <w:rFonts w:ascii="宋体" w:hAnsi="宋体" w:cs="宋体"/>
                <w:kern w:val="0"/>
                <w:sz w:val="18"/>
                <w:szCs w:val="18"/>
              </w:rPr>
            </w:pPr>
            <w:r>
              <w:rPr>
                <w:rFonts w:hint="eastAsia" w:ascii="宋体" w:hAnsi="宋体" w:cs="宋体"/>
                <w:kern w:val="0"/>
                <w:sz w:val="18"/>
                <w:szCs w:val="18"/>
              </w:rPr>
              <w:t>县区部门满意度</w:t>
            </w:r>
          </w:p>
        </w:tc>
        <w:tc>
          <w:tcPr>
            <w:tcW w:w="1280" w:type="dxa"/>
            <w:tcBorders>
              <w:top w:val="nil"/>
              <w:left w:val="nil"/>
              <w:bottom w:val="single" w:color="auto" w:sz="4" w:space="0"/>
              <w:right w:val="single" w:color="auto" w:sz="4" w:space="0"/>
            </w:tcBorders>
            <w:shd w:val="clear" w:color="auto" w:fill="auto"/>
            <w:vAlign w:val="center"/>
          </w:tcPr>
          <w:p w14:paraId="7BF776C7">
            <w:pPr>
              <w:widowControl/>
              <w:jc w:val="left"/>
              <w:rPr>
                <w:rFonts w:ascii="宋体" w:hAnsi="宋体" w:cs="宋体"/>
                <w:kern w:val="0"/>
                <w:sz w:val="18"/>
                <w:szCs w:val="18"/>
              </w:rPr>
            </w:pPr>
            <w:r>
              <w:rPr>
                <w:rFonts w:hint="eastAsia" w:ascii="宋体" w:hAnsi="宋体" w:cs="宋体"/>
                <w:kern w:val="0"/>
                <w:sz w:val="18"/>
                <w:szCs w:val="18"/>
              </w:rPr>
              <w:t>≥95%</w:t>
            </w:r>
          </w:p>
        </w:tc>
        <w:tc>
          <w:tcPr>
            <w:tcW w:w="1000" w:type="dxa"/>
            <w:tcBorders>
              <w:top w:val="nil"/>
              <w:left w:val="nil"/>
              <w:bottom w:val="single" w:color="auto" w:sz="4" w:space="0"/>
              <w:right w:val="single" w:color="auto" w:sz="4" w:space="0"/>
            </w:tcBorders>
            <w:shd w:val="clear" w:color="auto" w:fill="auto"/>
            <w:vAlign w:val="center"/>
          </w:tcPr>
          <w:p w14:paraId="5F97DE1D">
            <w:pPr>
              <w:widowControl/>
              <w:jc w:val="left"/>
              <w:rPr>
                <w:rFonts w:ascii="宋体" w:hAnsi="宋体" w:cs="宋体"/>
                <w:kern w:val="0"/>
                <w:sz w:val="18"/>
                <w:szCs w:val="18"/>
              </w:rPr>
            </w:pPr>
            <w:r>
              <w:rPr>
                <w:rFonts w:hint="eastAsia" w:ascii="宋体" w:hAnsi="宋体" w:cs="宋体"/>
                <w:kern w:val="0"/>
                <w:sz w:val="18"/>
                <w:szCs w:val="18"/>
              </w:rPr>
              <w:t>满意</w:t>
            </w:r>
          </w:p>
        </w:tc>
        <w:tc>
          <w:tcPr>
            <w:tcW w:w="1060" w:type="dxa"/>
            <w:tcBorders>
              <w:top w:val="nil"/>
              <w:left w:val="nil"/>
              <w:bottom w:val="single" w:color="auto" w:sz="4" w:space="0"/>
              <w:right w:val="single" w:color="auto" w:sz="4" w:space="0"/>
            </w:tcBorders>
            <w:shd w:val="clear" w:color="auto" w:fill="auto"/>
            <w:vAlign w:val="center"/>
          </w:tcPr>
          <w:p w14:paraId="4FF8A963">
            <w:pPr>
              <w:widowControl/>
              <w:jc w:val="center"/>
              <w:rPr>
                <w:rFonts w:ascii="宋体" w:hAnsi="宋体" w:cs="宋体"/>
                <w:kern w:val="0"/>
                <w:sz w:val="18"/>
                <w:szCs w:val="18"/>
              </w:rPr>
            </w:pPr>
            <w:r>
              <w:rPr>
                <w:rFonts w:hint="eastAsia" w:ascii="宋体" w:hAnsi="宋体" w:cs="宋体"/>
                <w:kern w:val="0"/>
                <w:sz w:val="18"/>
                <w:szCs w:val="18"/>
              </w:rPr>
              <w:t>100%</w:t>
            </w:r>
          </w:p>
        </w:tc>
        <w:tc>
          <w:tcPr>
            <w:tcW w:w="820" w:type="dxa"/>
            <w:tcBorders>
              <w:top w:val="nil"/>
              <w:left w:val="nil"/>
              <w:bottom w:val="single" w:color="auto" w:sz="4" w:space="0"/>
              <w:right w:val="single" w:color="auto" w:sz="4" w:space="0"/>
            </w:tcBorders>
            <w:shd w:val="clear" w:color="auto" w:fill="auto"/>
            <w:vAlign w:val="center"/>
          </w:tcPr>
          <w:p w14:paraId="0662AEC3">
            <w:pPr>
              <w:widowControl/>
              <w:jc w:val="left"/>
              <w:rPr>
                <w:rFonts w:ascii="宋体" w:hAnsi="宋体" w:cs="宋体"/>
                <w:kern w:val="0"/>
                <w:sz w:val="18"/>
                <w:szCs w:val="18"/>
              </w:rPr>
            </w:pPr>
            <w:r>
              <w:rPr>
                <w:rFonts w:hint="eastAsia" w:ascii="宋体" w:hAnsi="宋体" w:cs="宋体"/>
                <w:kern w:val="0"/>
                <w:sz w:val="18"/>
                <w:szCs w:val="18"/>
              </w:rPr>
              <w:t>　</w:t>
            </w:r>
          </w:p>
        </w:tc>
      </w:tr>
      <w:tr w14:paraId="02BDF34F">
        <w:tblPrEx>
          <w:tblCellMar>
            <w:top w:w="0" w:type="dxa"/>
            <w:left w:w="108" w:type="dxa"/>
            <w:bottom w:w="0" w:type="dxa"/>
            <w:right w:w="108" w:type="dxa"/>
          </w:tblCellMar>
        </w:tblPrEx>
        <w:trPr>
          <w:trHeight w:val="765" w:hRule="atLeast"/>
        </w:trPr>
        <w:tc>
          <w:tcPr>
            <w:tcW w:w="740" w:type="dxa"/>
            <w:vMerge w:val="continue"/>
            <w:tcBorders>
              <w:top w:val="nil"/>
              <w:left w:val="single" w:color="auto" w:sz="4" w:space="0"/>
              <w:bottom w:val="single" w:color="auto" w:sz="4" w:space="0"/>
              <w:right w:val="single" w:color="auto" w:sz="4" w:space="0"/>
            </w:tcBorders>
            <w:vAlign w:val="center"/>
          </w:tcPr>
          <w:p w14:paraId="2C8F7E59">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36E9B3CA">
            <w:pPr>
              <w:widowControl/>
              <w:jc w:val="left"/>
              <w:rPr>
                <w:rFonts w:ascii="宋体" w:hAnsi="宋体" w:cs="宋体"/>
                <w:kern w:val="0"/>
                <w:sz w:val="18"/>
                <w:szCs w:val="18"/>
              </w:rPr>
            </w:pPr>
          </w:p>
        </w:tc>
        <w:tc>
          <w:tcPr>
            <w:tcW w:w="900" w:type="dxa"/>
            <w:vMerge w:val="continue"/>
            <w:tcBorders>
              <w:top w:val="nil"/>
              <w:left w:val="single" w:color="auto" w:sz="4" w:space="0"/>
              <w:bottom w:val="single" w:color="auto" w:sz="4" w:space="0"/>
              <w:right w:val="single" w:color="auto" w:sz="4" w:space="0"/>
            </w:tcBorders>
            <w:vAlign w:val="center"/>
          </w:tcPr>
          <w:p w14:paraId="01AC8E0D">
            <w:pPr>
              <w:widowControl/>
              <w:jc w:val="left"/>
              <w:rPr>
                <w:rFonts w:ascii="宋体" w:hAnsi="宋体" w:cs="宋体"/>
                <w:kern w:val="0"/>
                <w:sz w:val="18"/>
                <w:szCs w:val="18"/>
              </w:rPr>
            </w:pPr>
          </w:p>
        </w:tc>
        <w:tc>
          <w:tcPr>
            <w:tcW w:w="2500" w:type="dxa"/>
            <w:tcBorders>
              <w:top w:val="nil"/>
              <w:left w:val="nil"/>
              <w:bottom w:val="single" w:color="auto" w:sz="4" w:space="0"/>
              <w:right w:val="single" w:color="auto" w:sz="4" w:space="0"/>
            </w:tcBorders>
            <w:shd w:val="clear" w:color="auto" w:fill="auto"/>
            <w:vAlign w:val="center"/>
          </w:tcPr>
          <w:p w14:paraId="0C8D1623">
            <w:pPr>
              <w:widowControl/>
              <w:jc w:val="left"/>
              <w:rPr>
                <w:rFonts w:ascii="宋体" w:hAnsi="宋体" w:cs="宋体"/>
                <w:kern w:val="0"/>
                <w:sz w:val="18"/>
                <w:szCs w:val="18"/>
              </w:rPr>
            </w:pPr>
            <w:r>
              <w:rPr>
                <w:rFonts w:hint="eastAsia" w:ascii="宋体" w:hAnsi="宋体" w:cs="宋体"/>
                <w:kern w:val="0"/>
                <w:sz w:val="18"/>
                <w:szCs w:val="18"/>
              </w:rPr>
              <w:t>项目主管部门满意度</w:t>
            </w:r>
          </w:p>
        </w:tc>
        <w:tc>
          <w:tcPr>
            <w:tcW w:w="1280" w:type="dxa"/>
            <w:tcBorders>
              <w:top w:val="nil"/>
              <w:left w:val="nil"/>
              <w:bottom w:val="single" w:color="auto" w:sz="4" w:space="0"/>
              <w:right w:val="single" w:color="auto" w:sz="4" w:space="0"/>
            </w:tcBorders>
            <w:shd w:val="clear" w:color="auto" w:fill="auto"/>
            <w:vAlign w:val="center"/>
          </w:tcPr>
          <w:p w14:paraId="0310E723">
            <w:pPr>
              <w:widowControl/>
              <w:jc w:val="left"/>
              <w:rPr>
                <w:rFonts w:ascii="宋体" w:hAnsi="宋体" w:cs="宋体"/>
                <w:kern w:val="0"/>
                <w:sz w:val="18"/>
                <w:szCs w:val="18"/>
              </w:rPr>
            </w:pPr>
            <w:r>
              <w:rPr>
                <w:rFonts w:hint="eastAsia" w:ascii="宋体" w:hAnsi="宋体" w:cs="宋体"/>
                <w:kern w:val="0"/>
                <w:sz w:val="18"/>
                <w:szCs w:val="18"/>
              </w:rPr>
              <w:t>≥95%</w:t>
            </w:r>
          </w:p>
        </w:tc>
        <w:tc>
          <w:tcPr>
            <w:tcW w:w="1000" w:type="dxa"/>
            <w:tcBorders>
              <w:top w:val="nil"/>
              <w:left w:val="nil"/>
              <w:bottom w:val="single" w:color="auto" w:sz="4" w:space="0"/>
              <w:right w:val="single" w:color="auto" w:sz="4" w:space="0"/>
            </w:tcBorders>
            <w:shd w:val="clear" w:color="auto" w:fill="auto"/>
            <w:vAlign w:val="center"/>
          </w:tcPr>
          <w:p w14:paraId="40C71CF2">
            <w:pPr>
              <w:widowControl/>
              <w:jc w:val="left"/>
              <w:rPr>
                <w:rFonts w:ascii="宋体" w:hAnsi="宋体" w:cs="宋体"/>
                <w:kern w:val="0"/>
                <w:sz w:val="18"/>
                <w:szCs w:val="18"/>
              </w:rPr>
            </w:pPr>
            <w:r>
              <w:rPr>
                <w:rFonts w:hint="eastAsia" w:ascii="宋体" w:hAnsi="宋体" w:cs="宋体"/>
                <w:kern w:val="0"/>
                <w:sz w:val="18"/>
                <w:szCs w:val="18"/>
              </w:rPr>
              <w:t>满意</w:t>
            </w:r>
          </w:p>
        </w:tc>
        <w:tc>
          <w:tcPr>
            <w:tcW w:w="1060" w:type="dxa"/>
            <w:tcBorders>
              <w:top w:val="nil"/>
              <w:left w:val="nil"/>
              <w:bottom w:val="single" w:color="auto" w:sz="4" w:space="0"/>
              <w:right w:val="single" w:color="auto" w:sz="4" w:space="0"/>
            </w:tcBorders>
            <w:shd w:val="clear" w:color="auto" w:fill="auto"/>
            <w:vAlign w:val="center"/>
          </w:tcPr>
          <w:p w14:paraId="60D23093">
            <w:pPr>
              <w:widowControl/>
              <w:jc w:val="center"/>
              <w:rPr>
                <w:rFonts w:ascii="宋体" w:hAnsi="宋体" w:cs="宋体"/>
                <w:kern w:val="0"/>
                <w:sz w:val="18"/>
                <w:szCs w:val="18"/>
              </w:rPr>
            </w:pPr>
            <w:r>
              <w:rPr>
                <w:rFonts w:hint="eastAsia" w:ascii="宋体" w:hAnsi="宋体" w:cs="宋体"/>
                <w:kern w:val="0"/>
                <w:sz w:val="18"/>
                <w:szCs w:val="18"/>
              </w:rPr>
              <w:t>100%</w:t>
            </w:r>
          </w:p>
        </w:tc>
        <w:tc>
          <w:tcPr>
            <w:tcW w:w="820" w:type="dxa"/>
            <w:tcBorders>
              <w:top w:val="nil"/>
              <w:left w:val="nil"/>
              <w:bottom w:val="single" w:color="auto" w:sz="4" w:space="0"/>
              <w:right w:val="single" w:color="auto" w:sz="4" w:space="0"/>
            </w:tcBorders>
            <w:shd w:val="clear" w:color="auto" w:fill="auto"/>
            <w:vAlign w:val="center"/>
          </w:tcPr>
          <w:p w14:paraId="393214F1">
            <w:pPr>
              <w:widowControl/>
              <w:jc w:val="left"/>
              <w:rPr>
                <w:rFonts w:ascii="宋体" w:hAnsi="宋体" w:cs="宋体"/>
                <w:kern w:val="0"/>
                <w:sz w:val="18"/>
                <w:szCs w:val="18"/>
              </w:rPr>
            </w:pPr>
            <w:r>
              <w:rPr>
                <w:rFonts w:hint="eastAsia" w:ascii="宋体" w:hAnsi="宋体" w:cs="宋体"/>
                <w:kern w:val="0"/>
                <w:sz w:val="18"/>
                <w:szCs w:val="18"/>
              </w:rPr>
              <w:t>　</w:t>
            </w:r>
          </w:p>
        </w:tc>
      </w:tr>
    </w:tbl>
    <w:p w14:paraId="049A084D">
      <w:pPr>
        <w:pStyle w:val="2"/>
        <w:spacing w:before="93"/>
        <w:rPr>
          <w:rFonts w:hint="eastAsia"/>
        </w:rPr>
      </w:pPr>
    </w:p>
    <w:p w14:paraId="017BB80B">
      <w:pPr>
        <w:pStyle w:val="2"/>
        <w:spacing w:before="93"/>
        <w:rPr>
          <w:rFonts w:hint="eastAsia"/>
        </w:rPr>
      </w:pPr>
    </w:p>
    <w:p w14:paraId="0CFF7BE1">
      <w:pPr>
        <w:pStyle w:val="2"/>
        <w:spacing w:before="93"/>
        <w:rPr>
          <w:rFonts w:hint="eastAsia"/>
        </w:rPr>
      </w:pPr>
    </w:p>
    <w:tbl>
      <w:tblPr>
        <w:tblStyle w:val="13"/>
        <w:tblW w:w="9180" w:type="dxa"/>
        <w:tblInd w:w="93" w:type="dxa"/>
        <w:tblLayout w:type="autofit"/>
        <w:tblCellMar>
          <w:top w:w="0" w:type="dxa"/>
          <w:left w:w="108" w:type="dxa"/>
          <w:bottom w:w="0" w:type="dxa"/>
          <w:right w:w="108" w:type="dxa"/>
        </w:tblCellMar>
      </w:tblPr>
      <w:tblGrid>
        <w:gridCol w:w="740"/>
        <w:gridCol w:w="740"/>
        <w:gridCol w:w="640"/>
        <w:gridCol w:w="1980"/>
        <w:gridCol w:w="1560"/>
        <w:gridCol w:w="1540"/>
        <w:gridCol w:w="900"/>
        <w:gridCol w:w="1080"/>
      </w:tblGrid>
      <w:tr w14:paraId="587BAABD">
        <w:tblPrEx>
          <w:tblCellMar>
            <w:top w:w="0" w:type="dxa"/>
            <w:left w:w="108" w:type="dxa"/>
            <w:bottom w:w="0" w:type="dxa"/>
            <w:right w:w="108" w:type="dxa"/>
          </w:tblCellMar>
        </w:tblPrEx>
        <w:trPr>
          <w:trHeight w:val="675" w:hRule="atLeast"/>
        </w:trPr>
        <w:tc>
          <w:tcPr>
            <w:tcW w:w="9180" w:type="dxa"/>
            <w:gridSpan w:val="8"/>
            <w:tcBorders>
              <w:top w:val="nil"/>
              <w:left w:val="nil"/>
              <w:bottom w:val="nil"/>
              <w:right w:val="nil"/>
            </w:tcBorders>
            <w:shd w:val="clear" w:color="auto" w:fill="auto"/>
            <w:vAlign w:val="center"/>
          </w:tcPr>
          <w:p w14:paraId="34533AB5">
            <w:pPr>
              <w:widowControl/>
              <w:jc w:val="center"/>
              <w:rPr>
                <w:rFonts w:ascii="宋体" w:hAnsi="宋体" w:cs="宋体"/>
                <w:b/>
                <w:bCs/>
                <w:kern w:val="0"/>
                <w:sz w:val="32"/>
                <w:szCs w:val="32"/>
              </w:rPr>
            </w:pPr>
            <w:r>
              <w:rPr>
                <w:rFonts w:hint="eastAsia" w:ascii="宋体" w:hAnsi="宋体" w:cs="宋体"/>
                <w:b/>
                <w:bCs/>
                <w:kern w:val="0"/>
                <w:sz w:val="32"/>
                <w:szCs w:val="32"/>
              </w:rPr>
              <w:t>专项（项目）资金绩效自评表</w:t>
            </w:r>
          </w:p>
        </w:tc>
      </w:tr>
      <w:tr w14:paraId="5F4007EC">
        <w:tblPrEx>
          <w:tblCellMar>
            <w:top w:w="0" w:type="dxa"/>
            <w:left w:w="108" w:type="dxa"/>
            <w:bottom w:w="0" w:type="dxa"/>
            <w:right w:w="108" w:type="dxa"/>
          </w:tblCellMar>
        </w:tblPrEx>
        <w:trPr>
          <w:trHeight w:val="285" w:hRule="atLeast"/>
        </w:trPr>
        <w:tc>
          <w:tcPr>
            <w:tcW w:w="9180" w:type="dxa"/>
            <w:gridSpan w:val="8"/>
            <w:tcBorders>
              <w:top w:val="nil"/>
              <w:left w:val="nil"/>
              <w:bottom w:val="nil"/>
              <w:right w:val="nil"/>
            </w:tcBorders>
            <w:shd w:val="clear" w:color="auto" w:fill="auto"/>
            <w:vAlign w:val="center"/>
          </w:tcPr>
          <w:p w14:paraId="5368FD42">
            <w:pPr>
              <w:widowControl/>
              <w:jc w:val="center"/>
              <w:rPr>
                <w:rFonts w:ascii="宋体" w:hAnsi="宋体" w:cs="宋体"/>
                <w:kern w:val="0"/>
                <w:sz w:val="24"/>
              </w:rPr>
            </w:pPr>
            <w:r>
              <w:rPr>
                <w:rFonts w:hint="eastAsia" w:ascii="宋体" w:hAnsi="宋体" w:cs="宋体"/>
                <w:kern w:val="0"/>
                <w:sz w:val="24"/>
              </w:rPr>
              <w:t>（</w:t>
            </w:r>
            <w:r>
              <w:rPr>
                <w:kern w:val="0"/>
                <w:sz w:val="24"/>
              </w:rPr>
              <w:t>2021</w:t>
            </w:r>
            <w:r>
              <w:rPr>
                <w:rFonts w:hint="eastAsia" w:ascii="宋体" w:hAnsi="宋体" w:cs="宋体"/>
                <w:kern w:val="0"/>
                <w:sz w:val="24"/>
              </w:rPr>
              <w:t>年度）</w:t>
            </w:r>
          </w:p>
        </w:tc>
      </w:tr>
      <w:tr w14:paraId="4EA06755">
        <w:tblPrEx>
          <w:tblCellMar>
            <w:top w:w="0" w:type="dxa"/>
            <w:left w:w="108" w:type="dxa"/>
            <w:bottom w:w="0" w:type="dxa"/>
            <w:right w:w="108" w:type="dxa"/>
          </w:tblCellMar>
        </w:tblPrEx>
        <w:trPr>
          <w:trHeight w:val="435" w:hRule="atLeast"/>
        </w:trPr>
        <w:tc>
          <w:tcPr>
            <w:tcW w:w="740" w:type="dxa"/>
            <w:tcBorders>
              <w:top w:val="nil"/>
              <w:left w:val="nil"/>
              <w:bottom w:val="single" w:color="auto" w:sz="4" w:space="0"/>
              <w:right w:val="nil"/>
            </w:tcBorders>
            <w:shd w:val="clear" w:color="auto" w:fill="auto"/>
            <w:noWrap/>
            <w:vAlign w:val="center"/>
          </w:tcPr>
          <w:p w14:paraId="0B4FC21E">
            <w:pPr>
              <w:widowControl/>
              <w:jc w:val="left"/>
              <w:rPr>
                <w:rFonts w:ascii="宋体" w:hAnsi="宋体" w:cs="宋体"/>
                <w:kern w:val="0"/>
                <w:sz w:val="24"/>
              </w:rPr>
            </w:pPr>
          </w:p>
        </w:tc>
        <w:tc>
          <w:tcPr>
            <w:tcW w:w="740" w:type="dxa"/>
            <w:tcBorders>
              <w:top w:val="nil"/>
              <w:left w:val="nil"/>
              <w:bottom w:val="single" w:color="auto" w:sz="4" w:space="0"/>
              <w:right w:val="nil"/>
            </w:tcBorders>
            <w:shd w:val="clear" w:color="auto" w:fill="auto"/>
            <w:vAlign w:val="center"/>
          </w:tcPr>
          <w:p w14:paraId="26195CE8">
            <w:pPr>
              <w:widowControl/>
              <w:jc w:val="left"/>
              <w:rPr>
                <w:rFonts w:ascii="宋体" w:hAnsi="宋体" w:cs="宋体"/>
                <w:kern w:val="0"/>
                <w:sz w:val="24"/>
              </w:rPr>
            </w:pPr>
          </w:p>
        </w:tc>
        <w:tc>
          <w:tcPr>
            <w:tcW w:w="640" w:type="dxa"/>
            <w:tcBorders>
              <w:top w:val="nil"/>
              <w:left w:val="nil"/>
              <w:bottom w:val="nil"/>
              <w:right w:val="nil"/>
            </w:tcBorders>
            <w:shd w:val="clear" w:color="auto" w:fill="auto"/>
            <w:vAlign w:val="center"/>
          </w:tcPr>
          <w:p w14:paraId="614AFA17">
            <w:pPr>
              <w:widowControl/>
              <w:jc w:val="left"/>
              <w:rPr>
                <w:rFonts w:ascii="宋体" w:hAnsi="宋体" w:cs="宋体"/>
                <w:kern w:val="0"/>
                <w:sz w:val="24"/>
              </w:rPr>
            </w:pPr>
          </w:p>
        </w:tc>
        <w:tc>
          <w:tcPr>
            <w:tcW w:w="1980" w:type="dxa"/>
            <w:tcBorders>
              <w:top w:val="nil"/>
              <w:left w:val="nil"/>
              <w:bottom w:val="nil"/>
              <w:right w:val="nil"/>
            </w:tcBorders>
            <w:shd w:val="clear" w:color="auto" w:fill="auto"/>
            <w:vAlign w:val="center"/>
          </w:tcPr>
          <w:p w14:paraId="5E7D40DD">
            <w:pPr>
              <w:widowControl/>
              <w:jc w:val="left"/>
              <w:rPr>
                <w:rFonts w:ascii="宋体" w:hAnsi="宋体" w:cs="宋体"/>
                <w:kern w:val="0"/>
                <w:sz w:val="24"/>
              </w:rPr>
            </w:pPr>
          </w:p>
        </w:tc>
        <w:tc>
          <w:tcPr>
            <w:tcW w:w="1560" w:type="dxa"/>
            <w:tcBorders>
              <w:top w:val="nil"/>
              <w:left w:val="nil"/>
              <w:bottom w:val="nil"/>
              <w:right w:val="nil"/>
            </w:tcBorders>
            <w:shd w:val="clear" w:color="auto" w:fill="auto"/>
            <w:vAlign w:val="center"/>
          </w:tcPr>
          <w:p w14:paraId="59985AE7">
            <w:pPr>
              <w:widowControl/>
              <w:jc w:val="left"/>
              <w:rPr>
                <w:rFonts w:ascii="宋体" w:hAnsi="宋体" w:cs="宋体"/>
                <w:kern w:val="0"/>
                <w:sz w:val="24"/>
              </w:rPr>
            </w:pPr>
          </w:p>
        </w:tc>
        <w:tc>
          <w:tcPr>
            <w:tcW w:w="1540" w:type="dxa"/>
            <w:tcBorders>
              <w:top w:val="nil"/>
              <w:left w:val="nil"/>
              <w:bottom w:val="nil"/>
              <w:right w:val="nil"/>
            </w:tcBorders>
            <w:shd w:val="clear" w:color="auto" w:fill="auto"/>
            <w:vAlign w:val="center"/>
          </w:tcPr>
          <w:p w14:paraId="53B94FA5">
            <w:pPr>
              <w:widowControl/>
              <w:jc w:val="left"/>
              <w:rPr>
                <w:rFonts w:ascii="宋体" w:hAnsi="宋体" w:cs="宋体"/>
                <w:kern w:val="0"/>
                <w:sz w:val="24"/>
              </w:rPr>
            </w:pPr>
          </w:p>
        </w:tc>
        <w:tc>
          <w:tcPr>
            <w:tcW w:w="900" w:type="dxa"/>
            <w:tcBorders>
              <w:top w:val="nil"/>
              <w:left w:val="nil"/>
              <w:bottom w:val="nil"/>
              <w:right w:val="nil"/>
            </w:tcBorders>
            <w:shd w:val="clear" w:color="auto" w:fill="auto"/>
            <w:vAlign w:val="center"/>
          </w:tcPr>
          <w:p w14:paraId="5D7A5B22">
            <w:pPr>
              <w:widowControl/>
              <w:jc w:val="left"/>
              <w:rPr>
                <w:rFonts w:ascii="宋体" w:hAnsi="宋体" w:cs="宋体"/>
                <w:kern w:val="0"/>
                <w:sz w:val="24"/>
              </w:rPr>
            </w:pPr>
          </w:p>
        </w:tc>
        <w:tc>
          <w:tcPr>
            <w:tcW w:w="1080" w:type="dxa"/>
            <w:tcBorders>
              <w:top w:val="nil"/>
              <w:left w:val="nil"/>
              <w:bottom w:val="nil"/>
              <w:right w:val="nil"/>
            </w:tcBorders>
            <w:shd w:val="clear" w:color="auto" w:fill="auto"/>
            <w:vAlign w:val="center"/>
          </w:tcPr>
          <w:p w14:paraId="693C80A1">
            <w:pPr>
              <w:widowControl/>
              <w:jc w:val="left"/>
              <w:rPr>
                <w:rFonts w:ascii="宋体" w:hAnsi="宋体" w:cs="宋体"/>
                <w:kern w:val="0"/>
                <w:sz w:val="24"/>
              </w:rPr>
            </w:pPr>
          </w:p>
        </w:tc>
      </w:tr>
      <w:tr w14:paraId="652A6322">
        <w:tblPrEx>
          <w:tblCellMar>
            <w:top w:w="0" w:type="dxa"/>
            <w:left w:w="108" w:type="dxa"/>
            <w:bottom w:w="0" w:type="dxa"/>
            <w:right w:w="108" w:type="dxa"/>
          </w:tblCellMar>
        </w:tblPrEx>
        <w:trPr>
          <w:trHeight w:val="439" w:hRule="atLeast"/>
        </w:trPr>
        <w:tc>
          <w:tcPr>
            <w:tcW w:w="2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C0EBAE5">
            <w:pPr>
              <w:widowControl/>
              <w:jc w:val="center"/>
              <w:rPr>
                <w:rFonts w:ascii="宋体" w:hAnsi="宋体" w:cs="宋体"/>
                <w:kern w:val="0"/>
                <w:sz w:val="18"/>
                <w:szCs w:val="18"/>
              </w:rPr>
            </w:pPr>
            <w:r>
              <w:rPr>
                <w:rFonts w:hint="eastAsia" w:ascii="宋体" w:hAnsi="宋体" w:cs="宋体"/>
                <w:kern w:val="0"/>
                <w:sz w:val="18"/>
                <w:szCs w:val="18"/>
              </w:rPr>
              <w:t>专项（项目）名称</w:t>
            </w:r>
          </w:p>
        </w:tc>
        <w:tc>
          <w:tcPr>
            <w:tcW w:w="7060" w:type="dxa"/>
            <w:gridSpan w:val="5"/>
            <w:tcBorders>
              <w:top w:val="single" w:color="auto" w:sz="4" w:space="0"/>
              <w:left w:val="nil"/>
              <w:bottom w:val="single" w:color="auto" w:sz="4" w:space="0"/>
              <w:right w:val="single" w:color="auto" w:sz="4" w:space="0"/>
            </w:tcBorders>
            <w:shd w:val="clear" w:color="auto" w:fill="auto"/>
            <w:vAlign w:val="center"/>
          </w:tcPr>
          <w:p w14:paraId="29D1A024">
            <w:pPr>
              <w:widowControl/>
              <w:jc w:val="center"/>
              <w:rPr>
                <w:rFonts w:ascii="宋体" w:hAnsi="宋体" w:cs="宋体"/>
                <w:kern w:val="0"/>
                <w:sz w:val="18"/>
                <w:szCs w:val="18"/>
              </w:rPr>
            </w:pPr>
            <w:r>
              <w:rPr>
                <w:rFonts w:hint="eastAsia" w:ascii="宋体" w:hAnsi="宋体" w:cs="宋体"/>
                <w:kern w:val="0"/>
                <w:sz w:val="18"/>
                <w:szCs w:val="18"/>
              </w:rPr>
              <w:t>无线电管理经费</w:t>
            </w:r>
          </w:p>
        </w:tc>
      </w:tr>
      <w:tr w14:paraId="5C7E3A37">
        <w:tblPrEx>
          <w:tblCellMar>
            <w:top w:w="0" w:type="dxa"/>
            <w:left w:w="108" w:type="dxa"/>
            <w:bottom w:w="0" w:type="dxa"/>
            <w:right w:w="108" w:type="dxa"/>
          </w:tblCellMar>
        </w:tblPrEx>
        <w:trPr>
          <w:trHeight w:val="439" w:hRule="atLeast"/>
        </w:trPr>
        <w:tc>
          <w:tcPr>
            <w:tcW w:w="2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02F7D3">
            <w:pPr>
              <w:widowControl/>
              <w:jc w:val="center"/>
              <w:rPr>
                <w:rFonts w:ascii="宋体" w:hAnsi="宋体" w:cs="宋体"/>
                <w:kern w:val="0"/>
                <w:sz w:val="18"/>
                <w:szCs w:val="18"/>
              </w:rPr>
            </w:pPr>
            <w:r>
              <w:rPr>
                <w:rFonts w:hint="eastAsia" w:ascii="宋体" w:hAnsi="宋体" w:cs="宋体"/>
                <w:kern w:val="0"/>
                <w:sz w:val="18"/>
                <w:szCs w:val="18"/>
              </w:rPr>
              <w:t>项目主管单位</w:t>
            </w:r>
          </w:p>
        </w:tc>
        <w:tc>
          <w:tcPr>
            <w:tcW w:w="7060" w:type="dxa"/>
            <w:gridSpan w:val="5"/>
            <w:tcBorders>
              <w:top w:val="single" w:color="auto" w:sz="4" w:space="0"/>
              <w:left w:val="nil"/>
              <w:bottom w:val="single" w:color="auto" w:sz="4" w:space="0"/>
              <w:right w:val="single" w:color="auto" w:sz="4" w:space="0"/>
            </w:tcBorders>
            <w:shd w:val="clear" w:color="auto" w:fill="auto"/>
            <w:vAlign w:val="center"/>
          </w:tcPr>
          <w:p w14:paraId="53E8974B">
            <w:pPr>
              <w:widowControl/>
              <w:jc w:val="center"/>
              <w:rPr>
                <w:rFonts w:ascii="宋体" w:hAnsi="宋体" w:cs="宋体"/>
                <w:kern w:val="0"/>
                <w:sz w:val="18"/>
                <w:szCs w:val="18"/>
              </w:rPr>
            </w:pPr>
            <w:r>
              <w:rPr>
                <w:rFonts w:hint="eastAsia" w:ascii="宋体" w:hAnsi="宋体" w:cs="宋体"/>
                <w:kern w:val="0"/>
                <w:sz w:val="18"/>
                <w:szCs w:val="18"/>
              </w:rPr>
              <w:t>市经济和信息化局</w:t>
            </w:r>
          </w:p>
        </w:tc>
      </w:tr>
      <w:tr w14:paraId="675941B9">
        <w:tblPrEx>
          <w:tblCellMar>
            <w:top w:w="0" w:type="dxa"/>
            <w:left w:w="108" w:type="dxa"/>
            <w:bottom w:w="0" w:type="dxa"/>
            <w:right w:w="108" w:type="dxa"/>
          </w:tblCellMar>
        </w:tblPrEx>
        <w:trPr>
          <w:trHeight w:val="439" w:hRule="atLeast"/>
        </w:trPr>
        <w:tc>
          <w:tcPr>
            <w:tcW w:w="212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8557166">
            <w:pPr>
              <w:widowControl/>
              <w:jc w:val="center"/>
              <w:rPr>
                <w:rFonts w:ascii="宋体" w:hAnsi="宋体" w:cs="宋体"/>
                <w:kern w:val="0"/>
                <w:sz w:val="18"/>
                <w:szCs w:val="18"/>
              </w:rPr>
            </w:pPr>
            <w:r>
              <w:rPr>
                <w:rFonts w:hint="eastAsia" w:ascii="宋体" w:hAnsi="宋体" w:cs="宋体"/>
                <w:kern w:val="0"/>
                <w:sz w:val="18"/>
                <w:szCs w:val="18"/>
              </w:rPr>
              <w:t>项目实施单位</w:t>
            </w:r>
          </w:p>
        </w:tc>
        <w:tc>
          <w:tcPr>
            <w:tcW w:w="7060" w:type="dxa"/>
            <w:gridSpan w:val="5"/>
            <w:tcBorders>
              <w:top w:val="single" w:color="auto" w:sz="4" w:space="0"/>
              <w:left w:val="nil"/>
              <w:bottom w:val="single" w:color="auto" w:sz="4" w:space="0"/>
              <w:right w:val="single" w:color="000000" w:sz="4" w:space="0"/>
            </w:tcBorders>
            <w:shd w:val="clear" w:color="auto" w:fill="auto"/>
            <w:vAlign w:val="center"/>
          </w:tcPr>
          <w:p w14:paraId="14CD4D2F">
            <w:pPr>
              <w:widowControl/>
              <w:jc w:val="center"/>
              <w:rPr>
                <w:rFonts w:ascii="宋体" w:hAnsi="宋体" w:cs="宋体"/>
                <w:kern w:val="0"/>
                <w:sz w:val="18"/>
                <w:szCs w:val="18"/>
              </w:rPr>
            </w:pPr>
            <w:r>
              <w:rPr>
                <w:rFonts w:hint="eastAsia" w:ascii="宋体" w:hAnsi="宋体" w:cs="宋体"/>
                <w:kern w:val="0"/>
                <w:sz w:val="18"/>
                <w:szCs w:val="18"/>
              </w:rPr>
              <w:t>攀枝花无线电监测站</w:t>
            </w:r>
          </w:p>
        </w:tc>
      </w:tr>
      <w:tr w14:paraId="105B470C">
        <w:tblPrEx>
          <w:tblCellMar>
            <w:top w:w="0" w:type="dxa"/>
            <w:left w:w="108" w:type="dxa"/>
            <w:bottom w:w="0" w:type="dxa"/>
            <w:right w:w="108" w:type="dxa"/>
          </w:tblCellMar>
        </w:tblPrEx>
        <w:trPr>
          <w:trHeight w:val="439" w:hRule="atLeast"/>
        </w:trPr>
        <w:tc>
          <w:tcPr>
            <w:tcW w:w="21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3E7F5C">
            <w:pPr>
              <w:widowControl/>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80" w:type="dxa"/>
            <w:tcBorders>
              <w:top w:val="nil"/>
              <w:left w:val="nil"/>
              <w:bottom w:val="single" w:color="auto" w:sz="4" w:space="0"/>
              <w:right w:val="single" w:color="auto" w:sz="4" w:space="0"/>
            </w:tcBorders>
            <w:shd w:val="clear" w:color="auto" w:fill="auto"/>
            <w:vAlign w:val="center"/>
          </w:tcPr>
          <w:p w14:paraId="56B3D8E6">
            <w:pPr>
              <w:widowControl/>
              <w:jc w:val="center"/>
              <w:rPr>
                <w:rFonts w:ascii="宋体" w:hAnsi="宋体" w:cs="宋体"/>
                <w:kern w:val="0"/>
                <w:sz w:val="18"/>
                <w:szCs w:val="18"/>
              </w:rPr>
            </w:pPr>
            <w:r>
              <w:rPr>
                <w:rFonts w:hint="eastAsia" w:ascii="宋体" w:hAnsi="宋体" w:cs="宋体"/>
                <w:kern w:val="0"/>
                <w:sz w:val="18"/>
                <w:szCs w:val="18"/>
              </w:rPr>
              <w:t>　</w:t>
            </w:r>
          </w:p>
        </w:tc>
        <w:tc>
          <w:tcPr>
            <w:tcW w:w="1560" w:type="dxa"/>
            <w:tcBorders>
              <w:top w:val="nil"/>
              <w:left w:val="nil"/>
              <w:bottom w:val="single" w:color="auto" w:sz="4" w:space="0"/>
              <w:right w:val="single" w:color="auto" w:sz="4" w:space="0"/>
            </w:tcBorders>
            <w:shd w:val="clear" w:color="auto" w:fill="auto"/>
            <w:vAlign w:val="center"/>
          </w:tcPr>
          <w:p w14:paraId="755F99E3">
            <w:pPr>
              <w:widowControl/>
              <w:jc w:val="center"/>
              <w:rPr>
                <w:rFonts w:ascii="宋体" w:hAnsi="宋体" w:cs="宋体"/>
                <w:kern w:val="0"/>
                <w:sz w:val="18"/>
                <w:szCs w:val="18"/>
              </w:rPr>
            </w:pPr>
            <w:r>
              <w:rPr>
                <w:rFonts w:hint="eastAsia" w:ascii="宋体" w:hAnsi="宋体" w:cs="宋体"/>
                <w:kern w:val="0"/>
                <w:sz w:val="18"/>
                <w:szCs w:val="18"/>
              </w:rPr>
              <w:t>全年预算数</w:t>
            </w:r>
          </w:p>
        </w:tc>
        <w:tc>
          <w:tcPr>
            <w:tcW w:w="1540" w:type="dxa"/>
            <w:tcBorders>
              <w:top w:val="nil"/>
              <w:left w:val="nil"/>
              <w:bottom w:val="single" w:color="auto" w:sz="4" w:space="0"/>
              <w:right w:val="single" w:color="auto" w:sz="4" w:space="0"/>
            </w:tcBorders>
            <w:shd w:val="clear" w:color="auto" w:fill="auto"/>
            <w:vAlign w:val="center"/>
          </w:tcPr>
          <w:p w14:paraId="2133888E">
            <w:pPr>
              <w:widowControl/>
              <w:jc w:val="center"/>
              <w:rPr>
                <w:rFonts w:ascii="宋体" w:hAnsi="宋体" w:cs="宋体"/>
                <w:kern w:val="0"/>
                <w:sz w:val="18"/>
                <w:szCs w:val="18"/>
              </w:rPr>
            </w:pPr>
            <w:r>
              <w:rPr>
                <w:rFonts w:hint="eastAsia" w:ascii="宋体" w:hAnsi="宋体" w:cs="宋体"/>
                <w:kern w:val="0"/>
                <w:sz w:val="18"/>
                <w:szCs w:val="18"/>
              </w:rPr>
              <w:t>实际完成数</w:t>
            </w:r>
          </w:p>
        </w:tc>
        <w:tc>
          <w:tcPr>
            <w:tcW w:w="1980" w:type="dxa"/>
            <w:gridSpan w:val="2"/>
            <w:tcBorders>
              <w:top w:val="single" w:color="auto" w:sz="4" w:space="0"/>
              <w:left w:val="nil"/>
              <w:bottom w:val="single" w:color="auto" w:sz="4" w:space="0"/>
              <w:right w:val="single" w:color="000000" w:sz="4" w:space="0"/>
            </w:tcBorders>
            <w:shd w:val="clear" w:color="auto" w:fill="auto"/>
            <w:vAlign w:val="center"/>
          </w:tcPr>
          <w:p w14:paraId="617FB47F">
            <w:pPr>
              <w:widowControl/>
              <w:jc w:val="center"/>
              <w:rPr>
                <w:rFonts w:ascii="宋体" w:hAnsi="宋体" w:cs="宋体"/>
                <w:kern w:val="0"/>
                <w:sz w:val="18"/>
                <w:szCs w:val="18"/>
              </w:rPr>
            </w:pPr>
            <w:r>
              <w:rPr>
                <w:rFonts w:hint="eastAsia" w:ascii="宋体" w:hAnsi="宋体" w:cs="宋体"/>
                <w:kern w:val="0"/>
                <w:sz w:val="18"/>
                <w:szCs w:val="18"/>
              </w:rPr>
              <w:t>执行率（%）</w:t>
            </w:r>
          </w:p>
        </w:tc>
      </w:tr>
      <w:tr w14:paraId="2185C190">
        <w:tblPrEx>
          <w:tblCellMar>
            <w:top w:w="0" w:type="dxa"/>
            <w:left w:w="108" w:type="dxa"/>
            <w:bottom w:w="0" w:type="dxa"/>
            <w:right w:w="108" w:type="dxa"/>
          </w:tblCellMar>
        </w:tblPrEx>
        <w:trPr>
          <w:trHeight w:val="439" w:hRule="atLeast"/>
        </w:trPr>
        <w:tc>
          <w:tcPr>
            <w:tcW w:w="2120" w:type="dxa"/>
            <w:gridSpan w:val="3"/>
            <w:vMerge w:val="continue"/>
            <w:tcBorders>
              <w:top w:val="single" w:color="auto" w:sz="4" w:space="0"/>
              <w:left w:val="single" w:color="auto" w:sz="4" w:space="0"/>
              <w:bottom w:val="single" w:color="auto" w:sz="4" w:space="0"/>
              <w:right w:val="single" w:color="auto" w:sz="4" w:space="0"/>
            </w:tcBorders>
            <w:vAlign w:val="center"/>
          </w:tcPr>
          <w:p w14:paraId="786CA2BD">
            <w:pPr>
              <w:widowControl/>
              <w:jc w:val="left"/>
              <w:rPr>
                <w:rFonts w:ascii="宋体" w:hAnsi="宋体"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14:paraId="6930CC1C">
            <w:pPr>
              <w:widowControl/>
              <w:jc w:val="left"/>
              <w:rPr>
                <w:rFonts w:ascii="宋体" w:hAnsi="宋体" w:cs="宋体"/>
                <w:kern w:val="0"/>
                <w:sz w:val="18"/>
                <w:szCs w:val="18"/>
              </w:rPr>
            </w:pPr>
            <w:r>
              <w:rPr>
                <w:rFonts w:hint="eastAsia" w:ascii="宋体" w:hAnsi="宋体" w:cs="宋体"/>
                <w:kern w:val="0"/>
                <w:sz w:val="18"/>
                <w:szCs w:val="18"/>
              </w:rPr>
              <w:t xml:space="preserve"> 年度资金总额：</w:t>
            </w:r>
          </w:p>
        </w:tc>
        <w:tc>
          <w:tcPr>
            <w:tcW w:w="1560" w:type="dxa"/>
            <w:tcBorders>
              <w:top w:val="nil"/>
              <w:left w:val="nil"/>
              <w:bottom w:val="single" w:color="auto" w:sz="4" w:space="0"/>
              <w:right w:val="single" w:color="auto" w:sz="4" w:space="0"/>
            </w:tcBorders>
            <w:shd w:val="clear" w:color="auto" w:fill="auto"/>
            <w:vAlign w:val="center"/>
          </w:tcPr>
          <w:p w14:paraId="4D203056">
            <w:pPr>
              <w:widowControl/>
              <w:jc w:val="center"/>
              <w:rPr>
                <w:rFonts w:ascii="宋体" w:hAnsi="宋体" w:cs="宋体"/>
                <w:kern w:val="0"/>
                <w:sz w:val="18"/>
                <w:szCs w:val="18"/>
              </w:rPr>
            </w:pPr>
            <w:r>
              <w:rPr>
                <w:rFonts w:hint="eastAsia" w:ascii="宋体" w:hAnsi="宋体" w:cs="宋体"/>
                <w:kern w:val="0"/>
                <w:sz w:val="18"/>
                <w:szCs w:val="18"/>
              </w:rPr>
              <w:t>16.01</w:t>
            </w:r>
          </w:p>
        </w:tc>
        <w:tc>
          <w:tcPr>
            <w:tcW w:w="1540" w:type="dxa"/>
            <w:tcBorders>
              <w:top w:val="nil"/>
              <w:left w:val="nil"/>
              <w:bottom w:val="single" w:color="auto" w:sz="4" w:space="0"/>
              <w:right w:val="single" w:color="auto" w:sz="4" w:space="0"/>
            </w:tcBorders>
            <w:shd w:val="clear" w:color="auto" w:fill="auto"/>
            <w:vAlign w:val="center"/>
          </w:tcPr>
          <w:p w14:paraId="4A2ED67B">
            <w:pPr>
              <w:widowControl/>
              <w:jc w:val="center"/>
              <w:rPr>
                <w:rFonts w:ascii="宋体" w:hAnsi="宋体" w:cs="宋体"/>
                <w:kern w:val="0"/>
                <w:sz w:val="18"/>
                <w:szCs w:val="18"/>
              </w:rPr>
            </w:pPr>
            <w:r>
              <w:rPr>
                <w:rFonts w:hint="eastAsia" w:ascii="宋体" w:hAnsi="宋体" w:cs="宋体"/>
                <w:kern w:val="0"/>
                <w:sz w:val="18"/>
                <w:szCs w:val="18"/>
              </w:rPr>
              <w:t>16.01</w:t>
            </w:r>
          </w:p>
        </w:tc>
        <w:tc>
          <w:tcPr>
            <w:tcW w:w="1980" w:type="dxa"/>
            <w:gridSpan w:val="2"/>
            <w:tcBorders>
              <w:top w:val="single" w:color="auto" w:sz="4" w:space="0"/>
              <w:left w:val="nil"/>
              <w:bottom w:val="single" w:color="auto" w:sz="4" w:space="0"/>
              <w:right w:val="single" w:color="000000" w:sz="4" w:space="0"/>
            </w:tcBorders>
            <w:shd w:val="clear" w:color="auto" w:fill="auto"/>
            <w:vAlign w:val="center"/>
          </w:tcPr>
          <w:p w14:paraId="3A258B60">
            <w:pPr>
              <w:widowControl/>
              <w:jc w:val="center"/>
              <w:rPr>
                <w:rFonts w:ascii="宋体" w:hAnsi="宋体" w:cs="宋体"/>
                <w:kern w:val="0"/>
                <w:sz w:val="18"/>
                <w:szCs w:val="18"/>
              </w:rPr>
            </w:pPr>
            <w:r>
              <w:rPr>
                <w:rFonts w:hint="eastAsia" w:ascii="宋体" w:hAnsi="宋体" w:cs="宋体"/>
                <w:kern w:val="0"/>
                <w:sz w:val="18"/>
                <w:szCs w:val="18"/>
              </w:rPr>
              <w:t>100%</w:t>
            </w:r>
          </w:p>
        </w:tc>
      </w:tr>
      <w:tr w14:paraId="44C60752">
        <w:tblPrEx>
          <w:tblCellMar>
            <w:top w:w="0" w:type="dxa"/>
            <w:left w:w="108" w:type="dxa"/>
            <w:bottom w:w="0" w:type="dxa"/>
            <w:right w:w="108" w:type="dxa"/>
          </w:tblCellMar>
        </w:tblPrEx>
        <w:trPr>
          <w:trHeight w:val="439" w:hRule="atLeast"/>
        </w:trPr>
        <w:tc>
          <w:tcPr>
            <w:tcW w:w="2120" w:type="dxa"/>
            <w:gridSpan w:val="3"/>
            <w:vMerge w:val="continue"/>
            <w:tcBorders>
              <w:top w:val="single" w:color="auto" w:sz="4" w:space="0"/>
              <w:left w:val="single" w:color="auto" w:sz="4" w:space="0"/>
              <w:bottom w:val="single" w:color="auto" w:sz="4" w:space="0"/>
              <w:right w:val="single" w:color="auto" w:sz="4" w:space="0"/>
            </w:tcBorders>
            <w:vAlign w:val="center"/>
          </w:tcPr>
          <w:p w14:paraId="2182E5C2">
            <w:pPr>
              <w:widowControl/>
              <w:jc w:val="left"/>
              <w:rPr>
                <w:rFonts w:ascii="宋体" w:hAnsi="宋体"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14:paraId="0BE15BF2">
            <w:pPr>
              <w:widowControl/>
              <w:jc w:val="left"/>
              <w:rPr>
                <w:rFonts w:ascii="宋体" w:hAnsi="宋体" w:cs="宋体"/>
                <w:kern w:val="0"/>
                <w:sz w:val="18"/>
                <w:szCs w:val="18"/>
              </w:rPr>
            </w:pPr>
            <w:r>
              <w:rPr>
                <w:rFonts w:hint="eastAsia" w:ascii="宋体" w:hAnsi="宋体" w:cs="宋体"/>
                <w:kern w:val="0"/>
                <w:sz w:val="18"/>
                <w:szCs w:val="18"/>
              </w:rPr>
              <w:t xml:space="preserve">  其中：上级财政资金</w:t>
            </w:r>
          </w:p>
        </w:tc>
        <w:tc>
          <w:tcPr>
            <w:tcW w:w="1560" w:type="dxa"/>
            <w:tcBorders>
              <w:top w:val="nil"/>
              <w:left w:val="nil"/>
              <w:bottom w:val="single" w:color="auto" w:sz="4" w:space="0"/>
              <w:right w:val="single" w:color="auto" w:sz="4" w:space="0"/>
            </w:tcBorders>
            <w:shd w:val="clear" w:color="auto" w:fill="auto"/>
            <w:vAlign w:val="center"/>
          </w:tcPr>
          <w:p w14:paraId="154DEC84">
            <w:pPr>
              <w:widowControl/>
              <w:jc w:val="center"/>
              <w:rPr>
                <w:rFonts w:ascii="宋体" w:hAnsi="宋体" w:cs="宋体"/>
                <w:kern w:val="0"/>
                <w:sz w:val="18"/>
                <w:szCs w:val="18"/>
              </w:rPr>
            </w:pPr>
            <w:r>
              <w:rPr>
                <w:rFonts w:hint="eastAsia" w:ascii="宋体" w:hAnsi="宋体" w:cs="宋体"/>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14:paraId="259D67C4">
            <w:pPr>
              <w:widowControl/>
              <w:jc w:val="center"/>
              <w:rPr>
                <w:rFonts w:ascii="宋体" w:hAnsi="宋体" w:cs="宋体"/>
                <w:kern w:val="0"/>
                <w:sz w:val="18"/>
                <w:szCs w:val="18"/>
              </w:rPr>
            </w:pPr>
            <w:r>
              <w:rPr>
                <w:rFonts w:hint="eastAsia" w:ascii="宋体" w:hAnsi="宋体" w:cs="宋体"/>
                <w:kern w:val="0"/>
                <w:sz w:val="18"/>
                <w:szCs w:val="18"/>
              </w:rPr>
              <w:t>　</w:t>
            </w:r>
          </w:p>
        </w:tc>
        <w:tc>
          <w:tcPr>
            <w:tcW w:w="1980" w:type="dxa"/>
            <w:gridSpan w:val="2"/>
            <w:tcBorders>
              <w:top w:val="single" w:color="auto" w:sz="4" w:space="0"/>
              <w:left w:val="nil"/>
              <w:bottom w:val="single" w:color="auto" w:sz="4" w:space="0"/>
              <w:right w:val="single" w:color="000000" w:sz="4" w:space="0"/>
            </w:tcBorders>
            <w:shd w:val="clear" w:color="auto" w:fill="auto"/>
            <w:vAlign w:val="center"/>
          </w:tcPr>
          <w:p w14:paraId="0C8B6D0C">
            <w:pPr>
              <w:widowControl/>
              <w:jc w:val="center"/>
              <w:rPr>
                <w:rFonts w:ascii="宋体" w:hAnsi="宋体" w:cs="宋体"/>
                <w:kern w:val="0"/>
                <w:sz w:val="18"/>
                <w:szCs w:val="18"/>
              </w:rPr>
            </w:pPr>
            <w:r>
              <w:rPr>
                <w:rFonts w:hint="eastAsia" w:ascii="宋体" w:hAnsi="宋体" w:cs="宋体"/>
                <w:kern w:val="0"/>
                <w:sz w:val="18"/>
                <w:szCs w:val="18"/>
              </w:rPr>
              <w:t>　</w:t>
            </w:r>
          </w:p>
        </w:tc>
      </w:tr>
      <w:tr w14:paraId="462C65C0">
        <w:tblPrEx>
          <w:tblCellMar>
            <w:top w:w="0" w:type="dxa"/>
            <w:left w:w="108" w:type="dxa"/>
            <w:bottom w:w="0" w:type="dxa"/>
            <w:right w:w="108" w:type="dxa"/>
          </w:tblCellMar>
        </w:tblPrEx>
        <w:trPr>
          <w:trHeight w:val="439" w:hRule="atLeast"/>
        </w:trPr>
        <w:tc>
          <w:tcPr>
            <w:tcW w:w="2120" w:type="dxa"/>
            <w:gridSpan w:val="3"/>
            <w:vMerge w:val="continue"/>
            <w:tcBorders>
              <w:top w:val="single" w:color="auto" w:sz="4" w:space="0"/>
              <w:left w:val="single" w:color="auto" w:sz="4" w:space="0"/>
              <w:bottom w:val="single" w:color="auto" w:sz="4" w:space="0"/>
              <w:right w:val="single" w:color="auto" w:sz="4" w:space="0"/>
            </w:tcBorders>
            <w:vAlign w:val="center"/>
          </w:tcPr>
          <w:p w14:paraId="39CDCC2E">
            <w:pPr>
              <w:widowControl/>
              <w:jc w:val="left"/>
              <w:rPr>
                <w:rFonts w:ascii="宋体" w:hAnsi="宋体"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14:paraId="3FA3641E">
            <w:pPr>
              <w:widowControl/>
              <w:jc w:val="left"/>
              <w:rPr>
                <w:rFonts w:ascii="宋体" w:hAnsi="宋体" w:cs="宋体"/>
                <w:kern w:val="0"/>
                <w:sz w:val="18"/>
                <w:szCs w:val="18"/>
              </w:rPr>
            </w:pPr>
            <w:r>
              <w:rPr>
                <w:rFonts w:hint="eastAsia" w:ascii="宋体" w:hAnsi="宋体" w:cs="宋体"/>
                <w:kern w:val="0"/>
                <w:sz w:val="18"/>
                <w:szCs w:val="18"/>
              </w:rPr>
              <w:t xml:space="preserve">        本级财政资金</w:t>
            </w:r>
          </w:p>
        </w:tc>
        <w:tc>
          <w:tcPr>
            <w:tcW w:w="1560" w:type="dxa"/>
            <w:tcBorders>
              <w:top w:val="nil"/>
              <w:left w:val="nil"/>
              <w:bottom w:val="single" w:color="auto" w:sz="4" w:space="0"/>
              <w:right w:val="single" w:color="auto" w:sz="4" w:space="0"/>
            </w:tcBorders>
            <w:shd w:val="clear" w:color="auto" w:fill="auto"/>
            <w:vAlign w:val="center"/>
          </w:tcPr>
          <w:p w14:paraId="06F40B55">
            <w:pPr>
              <w:widowControl/>
              <w:jc w:val="center"/>
              <w:rPr>
                <w:rFonts w:ascii="宋体" w:hAnsi="宋体" w:cs="宋体"/>
                <w:kern w:val="0"/>
                <w:sz w:val="18"/>
                <w:szCs w:val="18"/>
              </w:rPr>
            </w:pPr>
            <w:r>
              <w:rPr>
                <w:rFonts w:hint="eastAsia" w:ascii="宋体" w:hAnsi="宋体" w:cs="宋体"/>
                <w:kern w:val="0"/>
                <w:sz w:val="18"/>
                <w:szCs w:val="18"/>
              </w:rPr>
              <w:t xml:space="preserve">16.01 </w:t>
            </w:r>
          </w:p>
        </w:tc>
        <w:tc>
          <w:tcPr>
            <w:tcW w:w="1540" w:type="dxa"/>
            <w:tcBorders>
              <w:top w:val="nil"/>
              <w:left w:val="nil"/>
              <w:bottom w:val="single" w:color="auto" w:sz="4" w:space="0"/>
              <w:right w:val="single" w:color="auto" w:sz="4" w:space="0"/>
            </w:tcBorders>
            <w:shd w:val="clear" w:color="auto" w:fill="auto"/>
            <w:vAlign w:val="center"/>
          </w:tcPr>
          <w:p w14:paraId="3B9383C4">
            <w:pPr>
              <w:widowControl/>
              <w:jc w:val="center"/>
              <w:rPr>
                <w:rFonts w:ascii="宋体" w:hAnsi="宋体" w:cs="宋体"/>
                <w:kern w:val="0"/>
                <w:sz w:val="18"/>
                <w:szCs w:val="18"/>
              </w:rPr>
            </w:pPr>
            <w:r>
              <w:rPr>
                <w:rFonts w:hint="eastAsia" w:ascii="宋体" w:hAnsi="宋体" w:cs="宋体"/>
                <w:kern w:val="0"/>
                <w:sz w:val="18"/>
                <w:szCs w:val="18"/>
              </w:rPr>
              <w:t xml:space="preserve">16.01 </w:t>
            </w:r>
          </w:p>
        </w:tc>
        <w:tc>
          <w:tcPr>
            <w:tcW w:w="1980" w:type="dxa"/>
            <w:gridSpan w:val="2"/>
            <w:tcBorders>
              <w:top w:val="single" w:color="auto" w:sz="4" w:space="0"/>
              <w:left w:val="nil"/>
              <w:bottom w:val="single" w:color="auto" w:sz="4" w:space="0"/>
              <w:right w:val="single" w:color="000000" w:sz="4" w:space="0"/>
            </w:tcBorders>
            <w:shd w:val="clear" w:color="auto" w:fill="auto"/>
            <w:vAlign w:val="center"/>
          </w:tcPr>
          <w:p w14:paraId="19548801">
            <w:pPr>
              <w:widowControl/>
              <w:jc w:val="center"/>
              <w:rPr>
                <w:rFonts w:ascii="宋体" w:hAnsi="宋体" w:cs="宋体"/>
                <w:kern w:val="0"/>
                <w:sz w:val="18"/>
                <w:szCs w:val="18"/>
              </w:rPr>
            </w:pPr>
            <w:r>
              <w:rPr>
                <w:rFonts w:hint="eastAsia" w:ascii="宋体" w:hAnsi="宋体" w:cs="宋体"/>
                <w:kern w:val="0"/>
                <w:sz w:val="18"/>
                <w:szCs w:val="18"/>
              </w:rPr>
              <w:t>100%</w:t>
            </w:r>
          </w:p>
        </w:tc>
      </w:tr>
      <w:tr w14:paraId="46EADAD7">
        <w:tblPrEx>
          <w:tblCellMar>
            <w:top w:w="0" w:type="dxa"/>
            <w:left w:w="108" w:type="dxa"/>
            <w:bottom w:w="0" w:type="dxa"/>
            <w:right w:w="108" w:type="dxa"/>
          </w:tblCellMar>
        </w:tblPrEx>
        <w:trPr>
          <w:trHeight w:val="439" w:hRule="atLeast"/>
        </w:trPr>
        <w:tc>
          <w:tcPr>
            <w:tcW w:w="2120" w:type="dxa"/>
            <w:gridSpan w:val="3"/>
            <w:vMerge w:val="continue"/>
            <w:tcBorders>
              <w:top w:val="single" w:color="auto" w:sz="4" w:space="0"/>
              <w:left w:val="single" w:color="auto" w:sz="4" w:space="0"/>
              <w:bottom w:val="single" w:color="auto" w:sz="4" w:space="0"/>
              <w:right w:val="single" w:color="auto" w:sz="4" w:space="0"/>
            </w:tcBorders>
            <w:vAlign w:val="center"/>
          </w:tcPr>
          <w:p w14:paraId="78BCD541">
            <w:pPr>
              <w:widowControl/>
              <w:jc w:val="left"/>
              <w:rPr>
                <w:rFonts w:ascii="宋体" w:hAnsi="宋体"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14:paraId="51E9AFAB">
            <w:pPr>
              <w:widowControl/>
              <w:jc w:val="left"/>
              <w:rPr>
                <w:rFonts w:ascii="宋体" w:hAnsi="宋体" w:cs="宋体"/>
                <w:kern w:val="0"/>
                <w:sz w:val="18"/>
                <w:szCs w:val="18"/>
              </w:rPr>
            </w:pPr>
            <w:r>
              <w:rPr>
                <w:rFonts w:hint="eastAsia" w:ascii="宋体" w:hAnsi="宋体" w:cs="宋体"/>
                <w:kern w:val="0"/>
                <w:sz w:val="18"/>
                <w:szCs w:val="18"/>
              </w:rPr>
              <w:t xml:space="preserve">        其他资金</w:t>
            </w:r>
          </w:p>
        </w:tc>
        <w:tc>
          <w:tcPr>
            <w:tcW w:w="1560" w:type="dxa"/>
            <w:tcBorders>
              <w:top w:val="nil"/>
              <w:left w:val="nil"/>
              <w:bottom w:val="single" w:color="auto" w:sz="4" w:space="0"/>
              <w:right w:val="single" w:color="auto" w:sz="4" w:space="0"/>
            </w:tcBorders>
            <w:shd w:val="clear" w:color="auto" w:fill="auto"/>
            <w:vAlign w:val="center"/>
          </w:tcPr>
          <w:p w14:paraId="792F9D46">
            <w:pPr>
              <w:widowControl/>
              <w:jc w:val="left"/>
              <w:rPr>
                <w:rFonts w:ascii="宋体" w:hAnsi="宋体" w:cs="宋体"/>
                <w:kern w:val="0"/>
                <w:sz w:val="18"/>
                <w:szCs w:val="18"/>
              </w:rPr>
            </w:pPr>
            <w:r>
              <w:rPr>
                <w:rFonts w:hint="eastAsia" w:ascii="宋体" w:hAnsi="宋体" w:cs="宋体"/>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14:paraId="3160AC03">
            <w:pPr>
              <w:widowControl/>
              <w:jc w:val="left"/>
              <w:rPr>
                <w:rFonts w:ascii="宋体" w:hAnsi="宋体" w:cs="宋体"/>
                <w:kern w:val="0"/>
                <w:sz w:val="18"/>
                <w:szCs w:val="18"/>
              </w:rPr>
            </w:pPr>
            <w:r>
              <w:rPr>
                <w:rFonts w:hint="eastAsia" w:ascii="宋体" w:hAnsi="宋体" w:cs="宋体"/>
                <w:kern w:val="0"/>
                <w:sz w:val="18"/>
                <w:szCs w:val="18"/>
              </w:rPr>
              <w:t>　</w:t>
            </w:r>
          </w:p>
        </w:tc>
        <w:tc>
          <w:tcPr>
            <w:tcW w:w="1980" w:type="dxa"/>
            <w:gridSpan w:val="2"/>
            <w:tcBorders>
              <w:top w:val="single" w:color="auto" w:sz="4" w:space="0"/>
              <w:left w:val="nil"/>
              <w:bottom w:val="single" w:color="auto" w:sz="4" w:space="0"/>
              <w:right w:val="single" w:color="000000" w:sz="4" w:space="0"/>
            </w:tcBorders>
            <w:shd w:val="clear" w:color="auto" w:fill="auto"/>
            <w:vAlign w:val="center"/>
          </w:tcPr>
          <w:p w14:paraId="621F731B">
            <w:pPr>
              <w:widowControl/>
              <w:jc w:val="center"/>
              <w:rPr>
                <w:rFonts w:ascii="宋体" w:hAnsi="宋体" w:cs="宋体"/>
                <w:kern w:val="0"/>
                <w:sz w:val="18"/>
                <w:szCs w:val="18"/>
              </w:rPr>
            </w:pPr>
            <w:r>
              <w:rPr>
                <w:rFonts w:hint="eastAsia" w:ascii="宋体" w:hAnsi="宋体" w:cs="宋体"/>
                <w:kern w:val="0"/>
                <w:sz w:val="18"/>
                <w:szCs w:val="18"/>
              </w:rPr>
              <w:t>　</w:t>
            </w:r>
          </w:p>
        </w:tc>
      </w:tr>
      <w:tr w14:paraId="3356D6C0">
        <w:tblPrEx>
          <w:tblCellMar>
            <w:top w:w="0" w:type="dxa"/>
            <w:left w:w="108" w:type="dxa"/>
            <w:bottom w:w="0" w:type="dxa"/>
            <w:right w:w="108" w:type="dxa"/>
          </w:tblCellMar>
        </w:tblPrEx>
        <w:trPr>
          <w:trHeight w:val="439"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19F77568">
            <w:pPr>
              <w:widowControl/>
              <w:jc w:val="center"/>
              <w:rPr>
                <w:rFonts w:ascii="宋体" w:hAnsi="宋体" w:cs="宋体"/>
                <w:kern w:val="0"/>
                <w:sz w:val="18"/>
                <w:szCs w:val="18"/>
              </w:rPr>
            </w:pPr>
            <w:r>
              <w:rPr>
                <w:rFonts w:hint="eastAsia" w:ascii="宋体" w:hAnsi="宋体" w:cs="宋体"/>
                <w:kern w:val="0"/>
                <w:sz w:val="18"/>
                <w:szCs w:val="18"/>
              </w:rPr>
              <w:t>总</w:t>
            </w:r>
            <w:r>
              <w:rPr>
                <w:rFonts w:hint="eastAsia" w:ascii="宋体" w:hAnsi="宋体" w:cs="宋体"/>
                <w:kern w:val="0"/>
                <w:sz w:val="18"/>
                <w:szCs w:val="18"/>
              </w:rPr>
              <w:br w:type="textWrapping"/>
            </w:r>
            <w:r>
              <w:rPr>
                <w:rFonts w:hint="eastAsia" w:ascii="宋体" w:hAnsi="宋体" w:cs="宋体"/>
                <w:kern w:val="0"/>
                <w:sz w:val="18"/>
                <w:szCs w:val="18"/>
              </w:rPr>
              <w:t>体</w:t>
            </w:r>
            <w:r>
              <w:rPr>
                <w:rFonts w:hint="eastAsia" w:ascii="宋体" w:hAnsi="宋体" w:cs="宋体"/>
                <w:kern w:val="0"/>
                <w:sz w:val="18"/>
                <w:szCs w:val="18"/>
              </w:rPr>
              <w:br w:type="textWrapping"/>
            </w:r>
            <w:r>
              <w:rPr>
                <w:rFonts w:hint="eastAsia" w:ascii="宋体" w:hAnsi="宋体" w:cs="宋体"/>
                <w:kern w:val="0"/>
                <w:sz w:val="18"/>
                <w:szCs w:val="18"/>
              </w:rPr>
              <w:t>目</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3360" w:type="dxa"/>
            <w:gridSpan w:val="3"/>
            <w:tcBorders>
              <w:top w:val="single" w:color="auto" w:sz="4" w:space="0"/>
              <w:left w:val="nil"/>
              <w:bottom w:val="single" w:color="auto" w:sz="4" w:space="0"/>
              <w:right w:val="single" w:color="auto" w:sz="4" w:space="0"/>
            </w:tcBorders>
            <w:shd w:val="clear" w:color="auto" w:fill="auto"/>
            <w:vAlign w:val="center"/>
          </w:tcPr>
          <w:p w14:paraId="4E212EBF">
            <w:pPr>
              <w:widowControl/>
              <w:jc w:val="center"/>
              <w:rPr>
                <w:rFonts w:ascii="宋体" w:hAnsi="宋体" w:cs="宋体"/>
                <w:kern w:val="0"/>
                <w:sz w:val="18"/>
                <w:szCs w:val="18"/>
              </w:rPr>
            </w:pPr>
            <w:r>
              <w:rPr>
                <w:rFonts w:hint="eastAsia" w:ascii="宋体" w:hAnsi="宋体" w:cs="宋体"/>
                <w:kern w:val="0"/>
                <w:sz w:val="18"/>
                <w:szCs w:val="18"/>
              </w:rPr>
              <w:t>年度设定目标</w:t>
            </w:r>
          </w:p>
        </w:tc>
        <w:tc>
          <w:tcPr>
            <w:tcW w:w="5080" w:type="dxa"/>
            <w:gridSpan w:val="4"/>
            <w:tcBorders>
              <w:top w:val="single" w:color="auto" w:sz="4" w:space="0"/>
              <w:left w:val="nil"/>
              <w:bottom w:val="single" w:color="auto" w:sz="4" w:space="0"/>
              <w:right w:val="single" w:color="auto" w:sz="4" w:space="0"/>
            </w:tcBorders>
            <w:shd w:val="clear" w:color="auto" w:fill="auto"/>
            <w:vAlign w:val="center"/>
          </w:tcPr>
          <w:p w14:paraId="27D90B52">
            <w:pPr>
              <w:widowControl/>
              <w:jc w:val="center"/>
              <w:rPr>
                <w:rFonts w:ascii="宋体" w:hAnsi="宋体" w:cs="宋体"/>
                <w:kern w:val="0"/>
                <w:sz w:val="18"/>
                <w:szCs w:val="18"/>
              </w:rPr>
            </w:pPr>
            <w:r>
              <w:rPr>
                <w:rFonts w:hint="eastAsia" w:ascii="宋体" w:hAnsi="宋体" w:cs="宋体"/>
                <w:kern w:val="0"/>
                <w:sz w:val="18"/>
                <w:szCs w:val="18"/>
              </w:rPr>
              <w:t>实际完成情况</w:t>
            </w:r>
          </w:p>
        </w:tc>
      </w:tr>
      <w:tr w14:paraId="4A8577D4">
        <w:tblPrEx>
          <w:tblCellMar>
            <w:top w:w="0" w:type="dxa"/>
            <w:left w:w="108" w:type="dxa"/>
            <w:bottom w:w="0" w:type="dxa"/>
            <w:right w:w="108" w:type="dxa"/>
          </w:tblCellMar>
        </w:tblPrEx>
        <w:trPr>
          <w:trHeight w:val="915" w:hRule="atLeast"/>
        </w:trPr>
        <w:tc>
          <w:tcPr>
            <w:tcW w:w="740" w:type="dxa"/>
            <w:vMerge w:val="continue"/>
            <w:tcBorders>
              <w:top w:val="nil"/>
              <w:left w:val="single" w:color="auto" w:sz="4" w:space="0"/>
              <w:bottom w:val="single" w:color="auto" w:sz="4" w:space="0"/>
              <w:right w:val="single" w:color="auto" w:sz="4" w:space="0"/>
            </w:tcBorders>
            <w:vAlign w:val="center"/>
          </w:tcPr>
          <w:p w14:paraId="55C32C26">
            <w:pPr>
              <w:widowControl/>
              <w:jc w:val="left"/>
              <w:rPr>
                <w:rFonts w:ascii="宋体" w:hAnsi="宋体" w:cs="宋体"/>
                <w:kern w:val="0"/>
                <w:sz w:val="18"/>
                <w:szCs w:val="18"/>
              </w:rPr>
            </w:pPr>
          </w:p>
        </w:tc>
        <w:tc>
          <w:tcPr>
            <w:tcW w:w="3360" w:type="dxa"/>
            <w:gridSpan w:val="3"/>
            <w:tcBorders>
              <w:top w:val="single" w:color="auto" w:sz="4" w:space="0"/>
              <w:left w:val="nil"/>
              <w:bottom w:val="single" w:color="auto" w:sz="4" w:space="0"/>
              <w:right w:val="single" w:color="000000" w:sz="4" w:space="0"/>
            </w:tcBorders>
            <w:shd w:val="clear" w:color="auto" w:fill="auto"/>
          </w:tcPr>
          <w:p w14:paraId="0009C305">
            <w:pPr>
              <w:widowControl/>
              <w:jc w:val="left"/>
              <w:rPr>
                <w:rFonts w:ascii="宋体" w:hAnsi="宋体" w:cs="宋体"/>
                <w:kern w:val="0"/>
                <w:sz w:val="18"/>
                <w:szCs w:val="18"/>
              </w:rPr>
            </w:pPr>
            <w:r>
              <w:rPr>
                <w:rFonts w:hint="eastAsia" w:ascii="宋体" w:hAnsi="宋体" w:cs="宋体"/>
                <w:kern w:val="0"/>
                <w:sz w:val="18"/>
                <w:szCs w:val="18"/>
              </w:rPr>
              <w:br w:type="textWrapping"/>
            </w:r>
            <w:r>
              <w:rPr>
                <w:rFonts w:hint="eastAsia" w:ascii="宋体" w:hAnsi="宋体" w:cs="宋体"/>
                <w:kern w:val="0"/>
                <w:sz w:val="18"/>
                <w:szCs w:val="18"/>
              </w:rPr>
              <w:t>完成2021年无线电设备设施运行维护；完成考试保障任务；无线电频率国际和国内协调；专业技术人员培训工作任务</w:t>
            </w:r>
          </w:p>
        </w:tc>
        <w:tc>
          <w:tcPr>
            <w:tcW w:w="5080" w:type="dxa"/>
            <w:gridSpan w:val="4"/>
            <w:tcBorders>
              <w:top w:val="single" w:color="auto" w:sz="4" w:space="0"/>
              <w:left w:val="nil"/>
              <w:bottom w:val="single" w:color="auto" w:sz="4" w:space="0"/>
              <w:right w:val="single" w:color="000000" w:sz="4" w:space="0"/>
            </w:tcBorders>
            <w:shd w:val="clear" w:color="auto" w:fill="auto"/>
          </w:tcPr>
          <w:p w14:paraId="49006F05">
            <w:pPr>
              <w:widowControl/>
              <w:jc w:val="left"/>
              <w:rPr>
                <w:rFonts w:ascii="宋体" w:hAnsi="宋体" w:cs="宋体"/>
                <w:kern w:val="0"/>
                <w:sz w:val="18"/>
                <w:szCs w:val="18"/>
              </w:rPr>
            </w:pPr>
            <w:r>
              <w:rPr>
                <w:rFonts w:hint="eastAsia" w:ascii="宋体" w:hAnsi="宋体" w:cs="宋体"/>
                <w:kern w:val="0"/>
                <w:sz w:val="18"/>
                <w:szCs w:val="18"/>
              </w:rPr>
              <w:br w:type="textWrapping"/>
            </w:r>
            <w:r>
              <w:rPr>
                <w:rFonts w:hint="eastAsia" w:ascii="宋体" w:hAnsi="宋体" w:cs="宋体"/>
                <w:kern w:val="0"/>
                <w:sz w:val="18"/>
                <w:szCs w:val="18"/>
              </w:rPr>
              <w:t>完成2021年无线电设备设施运行维护；完成考试保障任务；无线电频率国际和国内协调；专业技术人员培训工作任务</w:t>
            </w:r>
          </w:p>
        </w:tc>
      </w:tr>
      <w:tr w14:paraId="7B15A297">
        <w:tblPrEx>
          <w:tblCellMar>
            <w:top w:w="0" w:type="dxa"/>
            <w:left w:w="108" w:type="dxa"/>
            <w:bottom w:w="0" w:type="dxa"/>
            <w:right w:w="108" w:type="dxa"/>
          </w:tblCellMar>
        </w:tblPrEx>
        <w:trPr>
          <w:trHeight w:val="690" w:hRule="atLeast"/>
        </w:trPr>
        <w:tc>
          <w:tcPr>
            <w:tcW w:w="740" w:type="dxa"/>
            <w:vMerge w:val="restart"/>
            <w:tcBorders>
              <w:top w:val="nil"/>
              <w:left w:val="single" w:color="auto" w:sz="4" w:space="0"/>
              <w:bottom w:val="nil"/>
              <w:right w:val="single" w:color="auto" w:sz="4" w:space="0"/>
            </w:tcBorders>
            <w:shd w:val="clear" w:color="auto" w:fill="auto"/>
            <w:vAlign w:val="center"/>
          </w:tcPr>
          <w:p w14:paraId="72AF4910">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740" w:type="dxa"/>
            <w:tcBorders>
              <w:top w:val="nil"/>
              <w:left w:val="nil"/>
              <w:bottom w:val="nil"/>
              <w:right w:val="single" w:color="auto" w:sz="4" w:space="0"/>
            </w:tcBorders>
            <w:shd w:val="clear" w:color="auto" w:fill="auto"/>
            <w:vAlign w:val="center"/>
          </w:tcPr>
          <w:p w14:paraId="155AF912">
            <w:pPr>
              <w:widowControl/>
              <w:jc w:val="center"/>
              <w:rPr>
                <w:rFonts w:ascii="宋体" w:hAnsi="宋体" w:cs="宋体"/>
                <w:kern w:val="0"/>
                <w:sz w:val="18"/>
                <w:szCs w:val="18"/>
              </w:rPr>
            </w:pPr>
            <w:r>
              <w:rPr>
                <w:rFonts w:hint="eastAsia" w:ascii="宋体" w:hAnsi="宋体" w:cs="宋体"/>
                <w:kern w:val="0"/>
                <w:sz w:val="18"/>
                <w:szCs w:val="18"/>
              </w:rPr>
              <w:t>一级</w:t>
            </w:r>
            <w:r>
              <w:rPr>
                <w:rFonts w:hint="eastAsia" w:ascii="宋体" w:hAnsi="宋体" w:cs="宋体"/>
                <w:kern w:val="0"/>
                <w:sz w:val="18"/>
                <w:szCs w:val="18"/>
              </w:rPr>
              <w:br w:type="textWrapping"/>
            </w:r>
            <w:r>
              <w:rPr>
                <w:rFonts w:hint="eastAsia" w:ascii="宋体" w:hAnsi="宋体" w:cs="宋体"/>
                <w:kern w:val="0"/>
                <w:sz w:val="18"/>
                <w:szCs w:val="18"/>
              </w:rPr>
              <w:t>指标</w:t>
            </w:r>
          </w:p>
        </w:tc>
        <w:tc>
          <w:tcPr>
            <w:tcW w:w="640" w:type="dxa"/>
            <w:tcBorders>
              <w:top w:val="nil"/>
              <w:left w:val="nil"/>
              <w:bottom w:val="single" w:color="auto" w:sz="4" w:space="0"/>
              <w:right w:val="single" w:color="auto" w:sz="4" w:space="0"/>
            </w:tcBorders>
            <w:shd w:val="clear" w:color="auto" w:fill="auto"/>
            <w:vAlign w:val="center"/>
          </w:tcPr>
          <w:p w14:paraId="09A16D96">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1980" w:type="dxa"/>
            <w:tcBorders>
              <w:top w:val="nil"/>
              <w:left w:val="nil"/>
              <w:bottom w:val="single" w:color="auto" w:sz="4" w:space="0"/>
              <w:right w:val="single" w:color="auto" w:sz="4" w:space="0"/>
            </w:tcBorders>
            <w:shd w:val="clear" w:color="auto" w:fill="auto"/>
            <w:vAlign w:val="center"/>
          </w:tcPr>
          <w:p w14:paraId="49129660">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1560" w:type="dxa"/>
            <w:tcBorders>
              <w:top w:val="nil"/>
              <w:left w:val="nil"/>
              <w:bottom w:val="single" w:color="auto" w:sz="4" w:space="0"/>
              <w:right w:val="single" w:color="auto" w:sz="4" w:space="0"/>
            </w:tcBorders>
            <w:shd w:val="clear" w:color="auto" w:fill="auto"/>
            <w:vAlign w:val="center"/>
          </w:tcPr>
          <w:p w14:paraId="788F67EC">
            <w:pPr>
              <w:widowControl/>
              <w:jc w:val="center"/>
              <w:rPr>
                <w:rFonts w:ascii="宋体" w:hAnsi="宋体" w:cs="宋体"/>
                <w:kern w:val="0"/>
                <w:sz w:val="18"/>
                <w:szCs w:val="18"/>
              </w:rPr>
            </w:pPr>
            <w:r>
              <w:rPr>
                <w:rFonts w:hint="eastAsia" w:ascii="宋体" w:hAnsi="宋体" w:cs="宋体"/>
                <w:kern w:val="0"/>
                <w:sz w:val="18"/>
                <w:szCs w:val="18"/>
              </w:rPr>
              <w:t>年度指标值</w:t>
            </w:r>
          </w:p>
        </w:tc>
        <w:tc>
          <w:tcPr>
            <w:tcW w:w="1540" w:type="dxa"/>
            <w:tcBorders>
              <w:top w:val="nil"/>
              <w:left w:val="nil"/>
              <w:bottom w:val="single" w:color="auto" w:sz="4" w:space="0"/>
              <w:right w:val="single" w:color="auto" w:sz="4" w:space="0"/>
            </w:tcBorders>
            <w:shd w:val="clear" w:color="auto" w:fill="auto"/>
            <w:vAlign w:val="center"/>
          </w:tcPr>
          <w:p w14:paraId="1DB9E4F0">
            <w:pPr>
              <w:widowControl/>
              <w:jc w:val="center"/>
              <w:rPr>
                <w:rFonts w:ascii="宋体" w:hAnsi="宋体" w:cs="宋体"/>
                <w:kern w:val="0"/>
                <w:sz w:val="18"/>
                <w:szCs w:val="18"/>
              </w:rPr>
            </w:pPr>
            <w:r>
              <w:rPr>
                <w:rFonts w:hint="eastAsia" w:ascii="宋体" w:hAnsi="宋体" w:cs="宋体"/>
                <w:kern w:val="0"/>
                <w:sz w:val="18"/>
                <w:szCs w:val="18"/>
              </w:rPr>
              <w:t>实际完成数</w:t>
            </w:r>
          </w:p>
        </w:tc>
        <w:tc>
          <w:tcPr>
            <w:tcW w:w="900" w:type="dxa"/>
            <w:tcBorders>
              <w:top w:val="nil"/>
              <w:left w:val="nil"/>
              <w:bottom w:val="single" w:color="auto" w:sz="4" w:space="0"/>
              <w:right w:val="single" w:color="auto" w:sz="4" w:space="0"/>
            </w:tcBorders>
            <w:shd w:val="clear" w:color="auto" w:fill="auto"/>
            <w:vAlign w:val="center"/>
          </w:tcPr>
          <w:p w14:paraId="7AD6B94E">
            <w:pPr>
              <w:widowControl/>
              <w:jc w:val="center"/>
              <w:rPr>
                <w:rFonts w:ascii="宋体" w:hAnsi="宋体" w:cs="宋体"/>
                <w:kern w:val="0"/>
                <w:sz w:val="18"/>
                <w:szCs w:val="18"/>
              </w:rPr>
            </w:pPr>
            <w:r>
              <w:rPr>
                <w:rFonts w:hint="eastAsia" w:ascii="宋体" w:hAnsi="宋体" w:cs="宋体"/>
                <w:kern w:val="0"/>
                <w:sz w:val="18"/>
                <w:szCs w:val="18"/>
              </w:rPr>
              <w:t>完成率（%）</w:t>
            </w:r>
          </w:p>
        </w:tc>
        <w:tc>
          <w:tcPr>
            <w:tcW w:w="1080" w:type="dxa"/>
            <w:tcBorders>
              <w:top w:val="nil"/>
              <w:left w:val="nil"/>
              <w:bottom w:val="single" w:color="auto" w:sz="4" w:space="0"/>
              <w:right w:val="single" w:color="auto" w:sz="4" w:space="0"/>
            </w:tcBorders>
            <w:shd w:val="clear" w:color="auto" w:fill="auto"/>
            <w:vAlign w:val="center"/>
          </w:tcPr>
          <w:p w14:paraId="6C4183A7">
            <w:pPr>
              <w:widowControl/>
              <w:jc w:val="left"/>
              <w:rPr>
                <w:rFonts w:ascii="宋体" w:hAnsi="宋体" w:cs="宋体"/>
                <w:kern w:val="0"/>
                <w:sz w:val="18"/>
                <w:szCs w:val="18"/>
              </w:rPr>
            </w:pPr>
            <w:r>
              <w:rPr>
                <w:rFonts w:hint="eastAsia" w:ascii="宋体" w:hAnsi="宋体" w:cs="宋体"/>
                <w:kern w:val="0"/>
                <w:sz w:val="18"/>
                <w:szCs w:val="18"/>
              </w:rPr>
              <w:t>未完成原因和改进措施</w:t>
            </w:r>
          </w:p>
        </w:tc>
      </w:tr>
      <w:tr w14:paraId="0B31A99C">
        <w:tblPrEx>
          <w:tblCellMar>
            <w:top w:w="0" w:type="dxa"/>
            <w:left w:w="108" w:type="dxa"/>
            <w:bottom w:w="0" w:type="dxa"/>
            <w:right w:w="108" w:type="dxa"/>
          </w:tblCellMar>
        </w:tblPrEx>
        <w:trPr>
          <w:trHeight w:val="630" w:hRule="atLeast"/>
        </w:trPr>
        <w:tc>
          <w:tcPr>
            <w:tcW w:w="740" w:type="dxa"/>
            <w:vMerge w:val="continue"/>
            <w:tcBorders>
              <w:top w:val="nil"/>
              <w:left w:val="single" w:color="auto" w:sz="4" w:space="0"/>
              <w:bottom w:val="nil"/>
              <w:right w:val="single" w:color="auto" w:sz="4" w:space="0"/>
            </w:tcBorders>
            <w:vAlign w:val="center"/>
          </w:tcPr>
          <w:p w14:paraId="3B82C394">
            <w:pPr>
              <w:widowControl/>
              <w:jc w:val="left"/>
              <w:rPr>
                <w:rFonts w:ascii="宋体" w:hAnsi="宋体" w:cs="宋体"/>
                <w:kern w:val="0"/>
                <w:sz w:val="18"/>
                <w:szCs w:val="18"/>
              </w:rPr>
            </w:pPr>
          </w:p>
        </w:tc>
        <w:tc>
          <w:tcPr>
            <w:tcW w:w="740" w:type="dxa"/>
            <w:vMerge w:val="restart"/>
            <w:tcBorders>
              <w:top w:val="single" w:color="auto" w:sz="4" w:space="0"/>
              <w:left w:val="single" w:color="auto" w:sz="4" w:space="0"/>
              <w:bottom w:val="nil"/>
              <w:right w:val="single" w:color="auto" w:sz="4" w:space="0"/>
            </w:tcBorders>
            <w:shd w:val="clear" w:color="auto" w:fill="auto"/>
            <w:vAlign w:val="center"/>
          </w:tcPr>
          <w:p w14:paraId="1F420CA5">
            <w:pPr>
              <w:widowControl/>
              <w:jc w:val="center"/>
              <w:rPr>
                <w:rFonts w:ascii="宋体" w:hAnsi="宋体" w:cs="宋体"/>
                <w:kern w:val="0"/>
                <w:sz w:val="18"/>
                <w:szCs w:val="18"/>
              </w:rPr>
            </w:pPr>
            <w:r>
              <w:rPr>
                <w:rFonts w:hint="eastAsia" w:ascii="宋体" w:hAnsi="宋体" w:cs="宋体"/>
                <w:kern w:val="0"/>
                <w:sz w:val="18"/>
                <w:szCs w:val="18"/>
              </w:rPr>
              <w:t>项目完成</w:t>
            </w:r>
          </w:p>
        </w:tc>
        <w:tc>
          <w:tcPr>
            <w:tcW w:w="640" w:type="dxa"/>
            <w:vMerge w:val="restart"/>
            <w:tcBorders>
              <w:top w:val="nil"/>
              <w:left w:val="single" w:color="auto" w:sz="4" w:space="0"/>
              <w:bottom w:val="nil"/>
              <w:right w:val="single" w:color="auto" w:sz="4" w:space="0"/>
            </w:tcBorders>
            <w:shd w:val="clear" w:color="auto" w:fill="auto"/>
            <w:vAlign w:val="center"/>
          </w:tcPr>
          <w:p w14:paraId="2AFAF372">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980" w:type="dxa"/>
            <w:tcBorders>
              <w:top w:val="nil"/>
              <w:left w:val="nil"/>
              <w:bottom w:val="single" w:color="auto" w:sz="4" w:space="0"/>
              <w:right w:val="single" w:color="auto" w:sz="4" w:space="0"/>
            </w:tcBorders>
            <w:shd w:val="clear" w:color="auto" w:fill="auto"/>
            <w:vAlign w:val="center"/>
          </w:tcPr>
          <w:p w14:paraId="3AB361B5">
            <w:pPr>
              <w:widowControl/>
              <w:jc w:val="left"/>
              <w:rPr>
                <w:rFonts w:ascii="宋体" w:hAnsi="宋体" w:cs="宋体"/>
                <w:kern w:val="0"/>
                <w:sz w:val="18"/>
                <w:szCs w:val="18"/>
              </w:rPr>
            </w:pPr>
            <w:r>
              <w:rPr>
                <w:rFonts w:hint="eastAsia" w:ascii="宋体" w:hAnsi="宋体" w:cs="宋体"/>
                <w:kern w:val="0"/>
                <w:sz w:val="18"/>
                <w:szCs w:val="18"/>
              </w:rPr>
              <w:t>房屋</w:t>
            </w:r>
          </w:p>
        </w:tc>
        <w:tc>
          <w:tcPr>
            <w:tcW w:w="1560" w:type="dxa"/>
            <w:tcBorders>
              <w:top w:val="nil"/>
              <w:left w:val="nil"/>
              <w:bottom w:val="single" w:color="auto" w:sz="4" w:space="0"/>
              <w:right w:val="single" w:color="auto" w:sz="4" w:space="0"/>
            </w:tcBorders>
            <w:shd w:val="clear" w:color="auto" w:fill="auto"/>
            <w:vAlign w:val="center"/>
          </w:tcPr>
          <w:p w14:paraId="20412A60">
            <w:pPr>
              <w:widowControl/>
              <w:jc w:val="left"/>
              <w:rPr>
                <w:rFonts w:ascii="宋体" w:hAnsi="宋体" w:cs="宋体"/>
                <w:kern w:val="0"/>
                <w:sz w:val="18"/>
                <w:szCs w:val="18"/>
              </w:rPr>
            </w:pPr>
            <w:r>
              <w:rPr>
                <w:rFonts w:hint="eastAsia" w:ascii="宋体" w:hAnsi="宋体" w:cs="宋体"/>
                <w:kern w:val="0"/>
                <w:sz w:val="18"/>
                <w:szCs w:val="18"/>
              </w:rPr>
              <w:t>监测站机房477平方米物业管理费</w:t>
            </w:r>
          </w:p>
        </w:tc>
        <w:tc>
          <w:tcPr>
            <w:tcW w:w="1540" w:type="dxa"/>
            <w:tcBorders>
              <w:top w:val="nil"/>
              <w:left w:val="nil"/>
              <w:bottom w:val="single" w:color="auto" w:sz="4" w:space="0"/>
              <w:right w:val="single" w:color="auto" w:sz="4" w:space="0"/>
            </w:tcBorders>
            <w:shd w:val="clear" w:color="auto" w:fill="auto"/>
            <w:vAlign w:val="center"/>
          </w:tcPr>
          <w:p w14:paraId="39C465F9">
            <w:pPr>
              <w:widowControl/>
              <w:jc w:val="left"/>
              <w:rPr>
                <w:rFonts w:ascii="宋体" w:hAnsi="宋体" w:cs="宋体"/>
                <w:kern w:val="0"/>
                <w:sz w:val="18"/>
                <w:szCs w:val="18"/>
              </w:rPr>
            </w:pPr>
            <w:r>
              <w:rPr>
                <w:rFonts w:hint="eastAsia" w:ascii="宋体" w:hAnsi="宋体" w:cs="宋体"/>
                <w:kern w:val="0"/>
                <w:sz w:val="18"/>
                <w:szCs w:val="18"/>
              </w:rPr>
              <w:t>监测站机房477平方米物业管理费</w:t>
            </w:r>
          </w:p>
        </w:tc>
        <w:tc>
          <w:tcPr>
            <w:tcW w:w="900" w:type="dxa"/>
            <w:tcBorders>
              <w:top w:val="nil"/>
              <w:left w:val="nil"/>
              <w:bottom w:val="single" w:color="auto" w:sz="4" w:space="0"/>
              <w:right w:val="single" w:color="auto" w:sz="4" w:space="0"/>
            </w:tcBorders>
            <w:shd w:val="clear" w:color="auto" w:fill="auto"/>
            <w:vAlign w:val="center"/>
          </w:tcPr>
          <w:p w14:paraId="61BEDF44">
            <w:pPr>
              <w:widowControl/>
              <w:jc w:val="center"/>
              <w:rPr>
                <w:rFonts w:ascii="宋体" w:hAnsi="宋体" w:cs="宋体"/>
                <w:kern w:val="0"/>
                <w:sz w:val="18"/>
                <w:szCs w:val="18"/>
              </w:rPr>
            </w:pPr>
            <w:r>
              <w:rPr>
                <w:rFonts w:hint="eastAsia" w:ascii="宋体" w:hAnsi="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14:paraId="711DB699">
            <w:pPr>
              <w:widowControl/>
              <w:jc w:val="left"/>
              <w:rPr>
                <w:rFonts w:ascii="宋体" w:hAnsi="宋体" w:cs="宋体"/>
                <w:kern w:val="0"/>
                <w:sz w:val="18"/>
                <w:szCs w:val="18"/>
              </w:rPr>
            </w:pPr>
            <w:r>
              <w:rPr>
                <w:rFonts w:hint="eastAsia" w:ascii="宋体" w:hAnsi="宋体" w:cs="宋体"/>
                <w:kern w:val="0"/>
                <w:sz w:val="18"/>
                <w:szCs w:val="18"/>
              </w:rPr>
              <w:t>　</w:t>
            </w:r>
          </w:p>
        </w:tc>
      </w:tr>
      <w:tr w14:paraId="01097C2D">
        <w:tblPrEx>
          <w:tblCellMar>
            <w:top w:w="0" w:type="dxa"/>
            <w:left w:w="108" w:type="dxa"/>
            <w:bottom w:w="0" w:type="dxa"/>
            <w:right w:w="108" w:type="dxa"/>
          </w:tblCellMar>
        </w:tblPrEx>
        <w:trPr>
          <w:trHeight w:val="630" w:hRule="atLeast"/>
        </w:trPr>
        <w:tc>
          <w:tcPr>
            <w:tcW w:w="740" w:type="dxa"/>
            <w:vMerge w:val="continue"/>
            <w:tcBorders>
              <w:top w:val="nil"/>
              <w:left w:val="single" w:color="auto" w:sz="4" w:space="0"/>
              <w:bottom w:val="nil"/>
              <w:right w:val="single" w:color="auto" w:sz="4" w:space="0"/>
            </w:tcBorders>
            <w:vAlign w:val="center"/>
          </w:tcPr>
          <w:p w14:paraId="1B96C603">
            <w:pPr>
              <w:widowControl/>
              <w:jc w:val="left"/>
              <w:rPr>
                <w:rFonts w:ascii="宋体" w:hAnsi="宋体" w:cs="宋体"/>
                <w:kern w:val="0"/>
                <w:sz w:val="18"/>
                <w:szCs w:val="18"/>
              </w:rPr>
            </w:pPr>
          </w:p>
        </w:tc>
        <w:tc>
          <w:tcPr>
            <w:tcW w:w="740" w:type="dxa"/>
            <w:vMerge w:val="continue"/>
            <w:tcBorders>
              <w:top w:val="single" w:color="auto" w:sz="4" w:space="0"/>
              <w:left w:val="single" w:color="auto" w:sz="4" w:space="0"/>
              <w:bottom w:val="nil"/>
              <w:right w:val="single" w:color="auto" w:sz="4" w:space="0"/>
            </w:tcBorders>
            <w:vAlign w:val="center"/>
          </w:tcPr>
          <w:p w14:paraId="68F611CD">
            <w:pPr>
              <w:widowControl/>
              <w:jc w:val="left"/>
              <w:rPr>
                <w:rFonts w:ascii="宋体" w:hAnsi="宋体" w:cs="宋体"/>
                <w:kern w:val="0"/>
                <w:sz w:val="18"/>
                <w:szCs w:val="18"/>
              </w:rPr>
            </w:pPr>
          </w:p>
        </w:tc>
        <w:tc>
          <w:tcPr>
            <w:tcW w:w="640" w:type="dxa"/>
            <w:vMerge w:val="continue"/>
            <w:tcBorders>
              <w:top w:val="nil"/>
              <w:left w:val="single" w:color="auto" w:sz="4" w:space="0"/>
              <w:bottom w:val="nil"/>
              <w:right w:val="single" w:color="auto" w:sz="4" w:space="0"/>
            </w:tcBorders>
            <w:vAlign w:val="center"/>
          </w:tcPr>
          <w:p w14:paraId="74685487">
            <w:pPr>
              <w:widowControl/>
              <w:jc w:val="left"/>
              <w:rPr>
                <w:rFonts w:ascii="宋体" w:hAnsi="宋体"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14:paraId="58B1CBF4">
            <w:pPr>
              <w:widowControl/>
              <w:jc w:val="left"/>
              <w:rPr>
                <w:rFonts w:ascii="宋体" w:hAnsi="宋体" w:cs="宋体"/>
                <w:kern w:val="0"/>
                <w:sz w:val="18"/>
                <w:szCs w:val="18"/>
              </w:rPr>
            </w:pPr>
            <w:r>
              <w:rPr>
                <w:rFonts w:hint="eastAsia" w:ascii="宋体" w:hAnsi="宋体" w:cs="宋体"/>
                <w:kern w:val="0"/>
                <w:sz w:val="18"/>
                <w:szCs w:val="18"/>
              </w:rPr>
              <w:t>车辆运行维护</w:t>
            </w:r>
          </w:p>
        </w:tc>
        <w:tc>
          <w:tcPr>
            <w:tcW w:w="1560" w:type="dxa"/>
            <w:tcBorders>
              <w:top w:val="nil"/>
              <w:left w:val="nil"/>
              <w:bottom w:val="single" w:color="auto" w:sz="4" w:space="0"/>
              <w:right w:val="single" w:color="auto" w:sz="4" w:space="0"/>
            </w:tcBorders>
            <w:shd w:val="clear" w:color="auto" w:fill="auto"/>
            <w:vAlign w:val="center"/>
          </w:tcPr>
          <w:p w14:paraId="76A5D587">
            <w:pPr>
              <w:widowControl/>
              <w:jc w:val="left"/>
              <w:rPr>
                <w:rFonts w:ascii="宋体" w:hAnsi="宋体" w:cs="宋体"/>
                <w:kern w:val="0"/>
                <w:sz w:val="18"/>
                <w:szCs w:val="18"/>
              </w:rPr>
            </w:pPr>
            <w:r>
              <w:rPr>
                <w:rFonts w:hint="eastAsia" w:ascii="宋体" w:hAnsi="宋体" w:cs="宋体"/>
                <w:kern w:val="0"/>
                <w:sz w:val="18"/>
                <w:szCs w:val="18"/>
              </w:rPr>
              <w:t>3辆</w:t>
            </w:r>
          </w:p>
        </w:tc>
        <w:tc>
          <w:tcPr>
            <w:tcW w:w="1540" w:type="dxa"/>
            <w:tcBorders>
              <w:top w:val="nil"/>
              <w:left w:val="nil"/>
              <w:bottom w:val="single" w:color="auto" w:sz="4" w:space="0"/>
              <w:right w:val="single" w:color="auto" w:sz="4" w:space="0"/>
            </w:tcBorders>
            <w:shd w:val="clear" w:color="auto" w:fill="auto"/>
            <w:vAlign w:val="center"/>
          </w:tcPr>
          <w:p w14:paraId="5B08DAA7">
            <w:pPr>
              <w:widowControl/>
              <w:jc w:val="left"/>
              <w:rPr>
                <w:rFonts w:ascii="宋体" w:hAnsi="宋体" w:cs="宋体"/>
                <w:kern w:val="0"/>
                <w:sz w:val="18"/>
                <w:szCs w:val="18"/>
              </w:rPr>
            </w:pPr>
            <w:r>
              <w:rPr>
                <w:rFonts w:hint="eastAsia" w:ascii="宋体" w:hAnsi="宋体" w:cs="宋体"/>
                <w:kern w:val="0"/>
                <w:sz w:val="18"/>
                <w:szCs w:val="18"/>
              </w:rPr>
              <w:t>3辆</w:t>
            </w:r>
          </w:p>
        </w:tc>
        <w:tc>
          <w:tcPr>
            <w:tcW w:w="900" w:type="dxa"/>
            <w:tcBorders>
              <w:top w:val="nil"/>
              <w:left w:val="nil"/>
              <w:bottom w:val="single" w:color="auto" w:sz="4" w:space="0"/>
              <w:right w:val="single" w:color="auto" w:sz="4" w:space="0"/>
            </w:tcBorders>
            <w:shd w:val="clear" w:color="auto" w:fill="auto"/>
            <w:vAlign w:val="center"/>
          </w:tcPr>
          <w:p w14:paraId="09600BE9">
            <w:pPr>
              <w:widowControl/>
              <w:jc w:val="center"/>
              <w:rPr>
                <w:rFonts w:ascii="宋体" w:hAnsi="宋体" w:cs="宋体"/>
                <w:kern w:val="0"/>
                <w:sz w:val="18"/>
                <w:szCs w:val="18"/>
              </w:rPr>
            </w:pPr>
            <w:r>
              <w:rPr>
                <w:rFonts w:hint="eastAsia" w:ascii="宋体" w:hAnsi="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14:paraId="0A846F00">
            <w:pPr>
              <w:widowControl/>
              <w:jc w:val="left"/>
              <w:rPr>
                <w:rFonts w:ascii="宋体" w:hAnsi="宋体" w:cs="宋体"/>
                <w:kern w:val="0"/>
                <w:sz w:val="18"/>
                <w:szCs w:val="18"/>
              </w:rPr>
            </w:pPr>
            <w:r>
              <w:rPr>
                <w:rFonts w:hint="eastAsia" w:ascii="宋体" w:hAnsi="宋体" w:cs="宋体"/>
                <w:kern w:val="0"/>
                <w:sz w:val="18"/>
                <w:szCs w:val="18"/>
              </w:rPr>
              <w:t>　</w:t>
            </w:r>
          </w:p>
        </w:tc>
      </w:tr>
      <w:tr w14:paraId="0B77D4B3">
        <w:tblPrEx>
          <w:tblCellMar>
            <w:top w:w="0" w:type="dxa"/>
            <w:left w:w="108" w:type="dxa"/>
            <w:bottom w:w="0" w:type="dxa"/>
            <w:right w:w="108" w:type="dxa"/>
          </w:tblCellMar>
        </w:tblPrEx>
        <w:trPr>
          <w:trHeight w:val="630" w:hRule="atLeast"/>
        </w:trPr>
        <w:tc>
          <w:tcPr>
            <w:tcW w:w="740" w:type="dxa"/>
            <w:vMerge w:val="continue"/>
            <w:tcBorders>
              <w:top w:val="nil"/>
              <w:left w:val="single" w:color="auto" w:sz="4" w:space="0"/>
              <w:bottom w:val="nil"/>
              <w:right w:val="single" w:color="auto" w:sz="4" w:space="0"/>
            </w:tcBorders>
            <w:vAlign w:val="center"/>
          </w:tcPr>
          <w:p w14:paraId="138F41B8">
            <w:pPr>
              <w:widowControl/>
              <w:jc w:val="left"/>
              <w:rPr>
                <w:rFonts w:ascii="宋体" w:hAnsi="宋体" w:cs="宋体"/>
                <w:kern w:val="0"/>
                <w:sz w:val="18"/>
                <w:szCs w:val="18"/>
              </w:rPr>
            </w:pPr>
          </w:p>
        </w:tc>
        <w:tc>
          <w:tcPr>
            <w:tcW w:w="740" w:type="dxa"/>
            <w:vMerge w:val="continue"/>
            <w:tcBorders>
              <w:top w:val="single" w:color="auto" w:sz="4" w:space="0"/>
              <w:left w:val="single" w:color="auto" w:sz="4" w:space="0"/>
              <w:bottom w:val="nil"/>
              <w:right w:val="single" w:color="auto" w:sz="4" w:space="0"/>
            </w:tcBorders>
            <w:vAlign w:val="center"/>
          </w:tcPr>
          <w:p w14:paraId="5297C651">
            <w:pPr>
              <w:widowControl/>
              <w:jc w:val="left"/>
              <w:rPr>
                <w:rFonts w:ascii="宋体" w:hAnsi="宋体" w:cs="宋体"/>
                <w:kern w:val="0"/>
                <w:sz w:val="18"/>
                <w:szCs w:val="18"/>
              </w:rPr>
            </w:pPr>
          </w:p>
        </w:tc>
        <w:tc>
          <w:tcPr>
            <w:tcW w:w="640" w:type="dxa"/>
            <w:vMerge w:val="continue"/>
            <w:tcBorders>
              <w:top w:val="nil"/>
              <w:left w:val="single" w:color="auto" w:sz="4" w:space="0"/>
              <w:bottom w:val="nil"/>
              <w:right w:val="single" w:color="auto" w:sz="4" w:space="0"/>
            </w:tcBorders>
            <w:vAlign w:val="center"/>
          </w:tcPr>
          <w:p w14:paraId="48B9C4DE">
            <w:pPr>
              <w:widowControl/>
              <w:jc w:val="left"/>
              <w:rPr>
                <w:rFonts w:ascii="宋体" w:hAnsi="宋体"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14:paraId="668281E1">
            <w:pPr>
              <w:widowControl/>
              <w:jc w:val="left"/>
              <w:rPr>
                <w:rFonts w:ascii="宋体" w:hAnsi="宋体" w:cs="宋体"/>
                <w:kern w:val="0"/>
                <w:sz w:val="18"/>
                <w:szCs w:val="18"/>
              </w:rPr>
            </w:pPr>
            <w:r>
              <w:rPr>
                <w:rFonts w:hint="eastAsia" w:ascii="宋体" w:hAnsi="宋体" w:cs="宋体"/>
                <w:kern w:val="0"/>
                <w:sz w:val="18"/>
                <w:szCs w:val="18"/>
              </w:rPr>
              <w:t>设备</w:t>
            </w:r>
          </w:p>
        </w:tc>
        <w:tc>
          <w:tcPr>
            <w:tcW w:w="1560" w:type="dxa"/>
            <w:tcBorders>
              <w:top w:val="nil"/>
              <w:left w:val="nil"/>
              <w:bottom w:val="single" w:color="auto" w:sz="4" w:space="0"/>
              <w:right w:val="single" w:color="auto" w:sz="4" w:space="0"/>
            </w:tcBorders>
            <w:shd w:val="clear" w:color="auto" w:fill="auto"/>
            <w:vAlign w:val="center"/>
          </w:tcPr>
          <w:p w14:paraId="0346DBFD">
            <w:pPr>
              <w:widowControl/>
              <w:jc w:val="left"/>
              <w:rPr>
                <w:rFonts w:ascii="宋体" w:hAnsi="宋体" w:cs="宋体"/>
                <w:kern w:val="0"/>
                <w:sz w:val="18"/>
                <w:szCs w:val="18"/>
              </w:rPr>
            </w:pPr>
            <w:r>
              <w:rPr>
                <w:rFonts w:hint="eastAsia" w:ascii="宋体" w:hAnsi="宋体" w:cs="宋体"/>
                <w:kern w:val="0"/>
                <w:sz w:val="18"/>
                <w:szCs w:val="18"/>
              </w:rPr>
              <w:t>无线电监测设备维护</w:t>
            </w:r>
          </w:p>
        </w:tc>
        <w:tc>
          <w:tcPr>
            <w:tcW w:w="1540" w:type="dxa"/>
            <w:tcBorders>
              <w:top w:val="nil"/>
              <w:left w:val="nil"/>
              <w:bottom w:val="single" w:color="auto" w:sz="4" w:space="0"/>
              <w:right w:val="single" w:color="auto" w:sz="4" w:space="0"/>
            </w:tcBorders>
            <w:shd w:val="clear" w:color="auto" w:fill="auto"/>
            <w:vAlign w:val="center"/>
          </w:tcPr>
          <w:p w14:paraId="164F2BB8">
            <w:pPr>
              <w:widowControl/>
              <w:jc w:val="left"/>
              <w:rPr>
                <w:rFonts w:ascii="宋体" w:hAnsi="宋体" w:cs="宋体"/>
                <w:kern w:val="0"/>
                <w:sz w:val="18"/>
                <w:szCs w:val="18"/>
              </w:rPr>
            </w:pPr>
            <w:r>
              <w:rPr>
                <w:rFonts w:hint="eastAsia" w:ascii="宋体" w:hAnsi="宋体" w:cs="宋体"/>
                <w:kern w:val="0"/>
                <w:sz w:val="18"/>
                <w:szCs w:val="18"/>
              </w:rPr>
              <w:t>无线电监测设备维护</w:t>
            </w:r>
          </w:p>
        </w:tc>
        <w:tc>
          <w:tcPr>
            <w:tcW w:w="900" w:type="dxa"/>
            <w:tcBorders>
              <w:top w:val="nil"/>
              <w:left w:val="nil"/>
              <w:bottom w:val="single" w:color="auto" w:sz="4" w:space="0"/>
              <w:right w:val="single" w:color="auto" w:sz="4" w:space="0"/>
            </w:tcBorders>
            <w:shd w:val="clear" w:color="auto" w:fill="auto"/>
            <w:vAlign w:val="center"/>
          </w:tcPr>
          <w:p w14:paraId="0C92E850">
            <w:pPr>
              <w:widowControl/>
              <w:jc w:val="center"/>
              <w:rPr>
                <w:rFonts w:ascii="宋体" w:hAnsi="宋体" w:cs="宋体"/>
                <w:kern w:val="0"/>
                <w:sz w:val="18"/>
                <w:szCs w:val="18"/>
              </w:rPr>
            </w:pPr>
            <w:r>
              <w:rPr>
                <w:rFonts w:hint="eastAsia" w:ascii="宋体" w:hAnsi="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14:paraId="3E3CFA6B">
            <w:pPr>
              <w:widowControl/>
              <w:jc w:val="left"/>
              <w:rPr>
                <w:rFonts w:ascii="宋体" w:hAnsi="宋体" w:cs="宋体"/>
                <w:kern w:val="0"/>
                <w:sz w:val="18"/>
                <w:szCs w:val="18"/>
              </w:rPr>
            </w:pPr>
            <w:r>
              <w:rPr>
                <w:rFonts w:hint="eastAsia" w:ascii="宋体" w:hAnsi="宋体" w:cs="宋体"/>
                <w:kern w:val="0"/>
                <w:sz w:val="18"/>
                <w:szCs w:val="18"/>
              </w:rPr>
              <w:t>　</w:t>
            </w:r>
          </w:p>
        </w:tc>
      </w:tr>
      <w:tr w14:paraId="1B150DBC">
        <w:tblPrEx>
          <w:tblCellMar>
            <w:top w:w="0" w:type="dxa"/>
            <w:left w:w="108" w:type="dxa"/>
            <w:bottom w:w="0" w:type="dxa"/>
            <w:right w:w="108" w:type="dxa"/>
          </w:tblCellMar>
        </w:tblPrEx>
        <w:trPr>
          <w:trHeight w:val="630" w:hRule="atLeast"/>
        </w:trPr>
        <w:tc>
          <w:tcPr>
            <w:tcW w:w="740" w:type="dxa"/>
            <w:vMerge w:val="continue"/>
            <w:tcBorders>
              <w:top w:val="nil"/>
              <w:left w:val="single" w:color="auto" w:sz="4" w:space="0"/>
              <w:bottom w:val="nil"/>
              <w:right w:val="single" w:color="auto" w:sz="4" w:space="0"/>
            </w:tcBorders>
            <w:vAlign w:val="center"/>
          </w:tcPr>
          <w:p w14:paraId="35782CAE">
            <w:pPr>
              <w:widowControl/>
              <w:jc w:val="left"/>
              <w:rPr>
                <w:rFonts w:ascii="宋体" w:hAnsi="宋体" w:cs="宋体"/>
                <w:kern w:val="0"/>
                <w:sz w:val="18"/>
                <w:szCs w:val="18"/>
              </w:rPr>
            </w:pPr>
          </w:p>
        </w:tc>
        <w:tc>
          <w:tcPr>
            <w:tcW w:w="740" w:type="dxa"/>
            <w:vMerge w:val="continue"/>
            <w:tcBorders>
              <w:top w:val="single" w:color="auto" w:sz="4" w:space="0"/>
              <w:left w:val="single" w:color="auto" w:sz="4" w:space="0"/>
              <w:bottom w:val="nil"/>
              <w:right w:val="single" w:color="auto" w:sz="4" w:space="0"/>
            </w:tcBorders>
            <w:vAlign w:val="center"/>
          </w:tcPr>
          <w:p w14:paraId="17EA6D24">
            <w:pPr>
              <w:widowControl/>
              <w:jc w:val="left"/>
              <w:rPr>
                <w:rFonts w:ascii="宋体" w:hAnsi="宋体" w:cs="宋体"/>
                <w:kern w:val="0"/>
                <w:sz w:val="18"/>
                <w:szCs w:val="18"/>
              </w:rPr>
            </w:pPr>
          </w:p>
        </w:tc>
        <w:tc>
          <w:tcPr>
            <w:tcW w:w="640" w:type="dxa"/>
            <w:vMerge w:val="continue"/>
            <w:tcBorders>
              <w:top w:val="nil"/>
              <w:left w:val="single" w:color="auto" w:sz="4" w:space="0"/>
              <w:bottom w:val="nil"/>
              <w:right w:val="single" w:color="auto" w:sz="4" w:space="0"/>
            </w:tcBorders>
            <w:vAlign w:val="center"/>
          </w:tcPr>
          <w:p w14:paraId="21C5DBAF">
            <w:pPr>
              <w:widowControl/>
              <w:jc w:val="left"/>
              <w:rPr>
                <w:rFonts w:ascii="宋体" w:hAnsi="宋体"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14:paraId="249CFFD4">
            <w:pPr>
              <w:widowControl/>
              <w:jc w:val="left"/>
              <w:rPr>
                <w:rFonts w:ascii="宋体" w:hAnsi="宋体" w:cs="宋体"/>
                <w:kern w:val="0"/>
                <w:sz w:val="18"/>
                <w:szCs w:val="18"/>
              </w:rPr>
            </w:pPr>
            <w:r>
              <w:rPr>
                <w:rFonts w:hint="eastAsia" w:ascii="宋体" w:hAnsi="宋体" w:cs="宋体"/>
                <w:kern w:val="0"/>
                <w:sz w:val="18"/>
                <w:szCs w:val="18"/>
              </w:rPr>
              <w:t>无线电频率国际及国内协调</w:t>
            </w:r>
          </w:p>
        </w:tc>
        <w:tc>
          <w:tcPr>
            <w:tcW w:w="1560" w:type="dxa"/>
            <w:tcBorders>
              <w:top w:val="nil"/>
              <w:left w:val="nil"/>
              <w:bottom w:val="single" w:color="auto" w:sz="4" w:space="0"/>
              <w:right w:val="single" w:color="auto" w:sz="4" w:space="0"/>
            </w:tcBorders>
            <w:shd w:val="clear" w:color="auto" w:fill="auto"/>
            <w:vAlign w:val="center"/>
          </w:tcPr>
          <w:p w14:paraId="60CC0325">
            <w:pPr>
              <w:widowControl/>
              <w:jc w:val="left"/>
              <w:rPr>
                <w:rFonts w:ascii="宋体" w:hAnsi="宋体" w:cs="宋体"/>
                <w:kern w:val="0"/>
                <w:sz w:val="18"/>
                <w:szCs w:val="18"/>
              </w:rPr>
            </w:pPr>
            <w:r>
              <w:rPr>
                <w:rFonts w:hint="eastAsia" w:ascii="宋体" w:hAnsi="宋体" w:cs="宋体"/>
                <w:kern w:val="0"/>
                <w:sz w:val="18"/>
                <w:szCs w:val="18"/>
              </w:rPr>
              <w:t>机场链路数据专线和仁和小型站维护</w:t>
            </w:r>
          </w:p>
        </w:tc>
        <w:tc>
          <w:tcPr>
            <w:tcW w:w="1540" w:type="dxa"/>
            <w:tcBorders>
              <w:top w:val="nil"/>
              <w:left w:val="nil"/>
              <w:bottom w:val="single" w:color="auto" w:sz="4" w:space="0"/>
              <w:right w:val="single" w:color="auto" w:sz="4" w:space="0"/>
            </w:tcBorders>
            <w:shd w:val="clear" w:color="auto" w:fill="auto"/>
            <w:vAlign w:val="center"/>
          </w:tcPr>
          <w:p w14:paraId="79F2C5A2">
            <w:pPr>
              <w:widowControl/>
              <w:jc w:val="left"/>
              <w:rPr>
                <w:rFonts w:ascii="宋体" w:hAnsi="宋体" w:cs="宋体"/>
                <w:kern w:val="0"/>
                <w:sz w:val="18"/>
                <w:szCs w:val="18"/>
              </w:rPr>
            </w:pPr>
            <w:r>
              <w:rPr>
                <w:rFonts w:hint="eastAsia" w:ascii="宋体" w:hAnsi="宋体" w:cs="宋体"/>
                <w:kern w:val="0"/>
                <w:sz w:val="18"/>
                <w:szCs w:val="18"/>
              </w:rPr>
              <w:t>机场链路数据专线和仁和小型站维护</w:t>
            </w:r>
          </w:p>
        </w:tc>
        <w:tc>
          <w:tcPr>
            <w:tcW w:w="900" w:type="dxa"/>
            <w:tcBorders>
              <w:top w:val="nil"/>
              <w:left w:val="nil"/>
              <w:bottom w:val="single" w:color="auto" w:sz="4" w:space="0"/>
              <w:right w:val="single" w:color="auto" w:sz="4" w:space="0"/>
            </w:tcBorders>
            <w:shd w:val="clear" w:color="auto" w:fill="auto"/>
            <w:vAlign w:val="center"/>
          </w:tcPr>
          <w:p w14:paraId="1DA898D0">
            <w:pPr>
              <w:widowControl/>
              <w:jc w:val="center"/>
              <w:rPr>
                <w:rFonts w:ascii="宋体" w:hAnsi="宋体" w:cs="宋体"/>
                <w:kern w:val="0"/>
                <w:sz w:val="18"/>
                <w:szCs w:val="18"/>
              </w:rPr>
            </w:pPr>
            <w:r>
              <w:rPr>
                <w:rFonts w:hint="eastAsia" w:ascii="宋体" w:hAnsi="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14:paraId="6CDAC07B">
            <w:pPr>
              <w:widowControl/>
              <w:jc w:val="left"/>
              <w:rPr>
                <w:rFonts w:ascii="宋体" w:hAnsi="宋体" w:cs="宋体"/>
                <w:kern w:val="0"/>
                <w:sz w:val="18"/>
                <w:szCs w:val="18"/>
              </w:rPr>
            </w:pPr>
            <w:r>
              <w:rPr>
                <w:rFonts w:hint="eastAsia" w:ascii="宋体" w:hAnsi="宋体" w:cs="宋体"/>
                <w:kern w:val="0"/>
                <w:sz w:val="18"/>
                <w:szCs w:val="18"/>
              </w:rPr>
              <w:t>　</w:t>
            </w:r>
          </w:p>
        </w:tc>
      </w:tr>
      <w:tr w14:paraId="784417C3">
        <w:tblPrEx>
          <w:tblCellMar>
            <w:top w:w="0" w:type="dxa"/>
            <w:left w:w="108" w:type="dxa"/>
            <w:bottom w:w="0" w:type="dxa"/>
            <w:right w:w="108" w:type="dxa"/>
          </w:tblCellMar>
        </w:tblPrEx>
        <w:trPr>
          <w:trHeight w:val="630" w:hRule="atLeast"/>
        </w:trPr>
        <w:tc>
          <w:tcPr>
            <w:tcW w:w="740" w:type="dxa"/>
            <w:vMerge w:val="continue"/>
            <w:tcBorders>
              <w:top w:val="nil"/>
              <w:left w:val="single" w:color="auto" w:sz="4" w:space="0"/>
              <w:bottom w:val="nil"/>
              <w:right w:val="single" w:color="auto" w:sz="4" w:space="0"/>
            </w:tcBorders>
            <w:vAlign w:val="center"/>
          </w:tcPr>
          <w:p w14:paraId="7EDBAB88">
            <w:pPr>
              <w:widowControl/>
              <w:jc w:val="left"/>
              <w:rPr>
                <w:rFonts w:ascii="宋体" w:hAnsi="宋体" w:cs="宋体"/>
                <w:kern w:val="0"/>
                <w:sz w:val="18"/>
                <w:szCs w:val="18"/>
              </w:rPr>
            </w:pPr>
          </w:p>
        </w:tc>
        <w:tc>
          <w:tcPr>
            <w:tcW w:w="740" w:type="dxa"/>
            <w:vMerge w:val="continue"/>
            <w:tcBorders>
              <w:top w:val="single" w:color="auto" w:sz="4" w:space="0"/>
              <w:left w:val="single" w:color="auto" w:sz="4" w:space="0"/>
              <w:bottom w:val="nil"/>
              <w:right w:val="single" w:color="auto" w:sz="4" w:space="0"/>
            </w:tcBorders>
            <w:vAlign w:val="center"/>
          </w:tcPr>
          <w:p w14:paraId="1A94C3E0">
            <w:pPr>
              <w:widowControl/>
              <w:jc w:val="left"/>
              <w:rPr>
                <w:rFonts w:ascii="宋体" w:hAnsi="宋体" w:cs="宋体"/>
                <w:kern w:val="0"/>
                <w:sz w:val="18"/>
                <w:szCs w:val="18"/>
              </w:rPr>
            </w:pPr>
          </w:p>
        </w:tc>
        <w:tc>
          <w:tcPr>
            <w:tcW w:w="640" w:type="dxa"/>
            <w:vMerge w:val="continue"/>
            <w:tcBorders>
              <w:top w:val="nil"/>
              <w:left w:val="single" w:color="auto" w:sz="4" w:space="0"/>
              <w:bottom w:val="nil"/>
              <w:right w:val="single" w:color="auto" w:sz="4" w:space="0"/>
            </w:tcBorders>
            <w:vAlign w:val="center"/>
          </w:tcPr>
          <w:p w14:paraId="59022300">
            <w:pPr>
              <w:widowControl/>
              <w:jc w:val="left"/>
              <w:rPr>
                <w:rFonts w:ascii="宋体" w:hAnsi="宋体"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14:paraId="441FEF19">
            <w:pPr>
              <w:widowControl/>
              <w:jc w:val="left"/>
              <w:rPr>
                <w:rFonts w:ascii="宋体" w:hAnsi="宋体" w:cs="宋体"/>
                <w:kern w:val="0"/>
                <w:sz w:val="18"/>
                <w:szCs w:val="18"/>
              </w:rPr>
            </w:pPr>
            <w:r>
              <w:rPr>
                <w:rFonts w:hint="eastAsia" w:ascii="宋体" w:hAnsi="宋体" w:cs="宋体"/>
                <w:kern w:val="0"/>
                <w:sz w:val="18"/>
                <w:szCs w:val="18"/>
              </w:rPr>
              <w:t>考试保障</w:t>
            </w:r>
          </w:p>
        </w:tc>
        <w:tc>
          <w:tcPr>
            <w:tcW w:w="1560" w:type="dxa"/>
            <w:tcBorders>
              <w:top w:val="nil"/>
              <w:left w:val="nil"/>
              <w:bottom w:val="single" w:color="auto" w:sz="4" w:space="0"/>
              <w:right w:val="single" w:color="auto" w:sz="4" w:space="0"/>
            </w:tcBorders>
            <w:shd w:val="clear" w:color="auto" w:fill="auto"/>
            <w:vAlign w:val="center"/>
          </w:tcPr>
          <w:p w14:paraId="3E256E80">
            <w:pPr>
              <w:widowControl/>
              <w:jc w:val="left"/>
              <w:rPr>
                <w:rFonts w:ascii="宋体" w:hAnsi="宋体" w:cs="宋体"/>
                <w:kern w:val="0"/>
                <w:sz w:val="18"/>
                <w:szCs w:val="18"/>
              </w:rPr>
            </w:pPr>
            <w:r>
              <w:rPr>
                <w:rFonts w:hint="eastAsia" w:ascii="宋体" w:hAnsi="宋体" w:cs="宋体"/>
                <w:kern w:val="0"/>
                <w:sz w:val="18"/>
                <w:szCs w:val="18"/>
              </w:rPr>
              <w:t>做好考试期间无线电信号监测</w:t>
            </w:r>
          </w:p>
        </w:tc>
        <w:tc>
          <w:tcPr>
            <w:tcW w:w="1540" w:type="dxa"/>
            <w:tcBorders>
              <w:top w:val="nil"/>
              <w:left w:val="nil"/>
              <w:bottom w:val="single" w:color="auto" w:sz="4" w:space="0"/>
              <w:right w:val="single" w:color="auto" w:sz="4" w:space="0"/>
            </w:tcBorders>
            <w:shd w:val="clear" w:color="auto" w:fill="auto"/>
            <w:vAlign w:val="center"/>
          </w:tcPr>
          <w:p w14:paraId="77A67BD7">
            <w:pPr>
              <w:widowControl/>
              <w:jc w:val="left"/>
              <w:rPr>
                <w:rFonts w:ascii="宋体" w:hAnsi="宋体" w:cs="宋体"/>
                <w:kern w:val="0"/>
                <w:sz w:val="18"/>
                <w:szCs w:val="18"/>
              </w:rPr>
            </w:pPr>
            <w:r>
              <w:rPr>
                <w:rFonts w:hint="eastAsia" w:ascii="宋体" w:hAnsi="宋体" w:cs="宋体"/>
                <w:kern w:val="0"/>
                <w:sz w:val="18"/>
                <w:szCs w:val="18"/>
              </w:rPr>
              <w:t>做好考试期间无线电信号监测</w:t>
            </w:r>
          </w:p>
        </w:tc>
        <w:tc>
          <w:tcPr>
            <w:tcW w:w="900" w:type="dxa"/>
            <w:tcBorders>
              <w:top w:val="nil"/>
              <w:left w:val="nil"/>
              <w:bottom w:val="single" w:color="auto" w:sz="4" w:space="0"/>
              <w:right w:val="single" w:color="auto" w:sz="4" w:space="0"/>
            </w:tcBorders>
            <w:shd w:val="clear" w:color="auto" w:fill="auto"/>
            <w:vAlign w:val="center"/>
          </w:tcPr>
          <w:p w14:paraId="788A71C4">
            <w:pPr>
              <w:widowControl/>
              <w:jc w:val="center"/>
              <w:rPr>
                <w:rFonts w:ascii="宋体" w:hAnsi="宋体" w:cs="宋体"/>
                <w:kern w:val="0"/>
                <w:sz w:val="18"/>
                <w:szCs w:val="18"/>
              </w:rPr>
            </w:pPr>
            <w:r>
              <w:rPr>
                <w:rFonts w:hint="eastAsia" w:ascii="宋体" w:hAnsi="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14:paraId="52C7F93C">
            <w:pPr>
              <w:widowControl/>
              <w:jc w:val="left"/>
              <w:rPr>
                <w:rFonts w:ascii="宋体" w:hAnsi="宋体" w:cs="宋体"/>
                <w:kern w:val="0"/>
                <w:sz w:val="18"/>
                <w:szCs w:val="18"/>
              </w:rPr>
            </w:pPr>
            <w:r>
              <w:rPr>
                <w:rFonts w:hint="eastAsia" w:ascii="宋体" w:hAnsi="宋体" w:cs="宋体"/>
                <w:kern w:val="0"/>
                <w:sz w:val="18"/>
                <w:szCs w:val="18"/>
              </w:rPr>
              <w:t>　</w:t>
            </w:r>
          </w:p>
        </w:tc>
      </w:tr>
      <w:tr w14:paraId="0222AFF7">
        <w:tblPrEx>
          <w:tblCellMar>
            <w:top w:w="0" w:type="dxa"/>
            <w:left w:w="108" w:type="dxa"/>
            <w:bottom w:w="0" w:type="dxa"/>
            <w:right w:w="108" w:type="dxa"/>
          </w:tblCellMar>
        </w:tblPrEx>
        <w:trPr>
          <w:trHeight w:val="630" w:hRule="atLeast"/>
        </w:trPr>
        <w:tc>
          <w:tcPr>
            <w:tcW w:w="740" w:type="dxa"/>
            <w:vMerge w:val="continue"/>
            <w:tcBorders>
              <w:top w:val="nil"/>
              <w:left w:val="single" w:color="auto" w:sz="4" w:space="0"/>
              <w:bottom w:val="nil"/>
              <w:right w:val="single" w:color="auto" w:sz="4" w:space="0"/>
            </w:tcBorders>
            <w:vAlign w:val="center"/>
          </w:tcPr>
          <w:p w14:paraId="6BA3BE49">
            <w:pPr>
              <w:widowControl/>
              <w:jc w:val="left"/>
              <w:rPr>
                <w:rFonts w:ascii="宋体" w:hAnsi="宋体" w:cs="宋体"/>
                <w:kern w:val="0"/>
                <w:sz w:val="18"/>
                <w:szCs w:val="18"/>
              </w:rPr>
            </w:pPr>
          </w:p>
        </w:tc>
        <w:tc>
          <w:tcPr>
            <w:tcW w:w="740" w:type="dxa"/>
            <w:vMerge w:val="continue"/>
            <w:tcBorders>
              <w:top w:val="single" w:color="auto" w:sz="4" w:space="0"/>
              <w:left w:val="single" w:color="auto" w:sz="4" w:space="0"/>
              <w:bottom w:val="nil"/>
              <w:right w:val="single" w:color="auto" w:sz="4" w:space="0"/>
            </w:tcBorders>
            <w:vAlign w:val="center"/>
          </w:tcPr>
          <w:p w14:paraId="1031DCD7">
            <w:pPr>
              <w:widowControl/>
              <w:jc w:val="left"/>
              <w:rPr>
                <w:rFonts w:ascii="宋体" w:hAnsi="宋体" w:cs="宋体"/>
                <w:kern w:val="0"/>
                <w:sz w:val="18"/>
                <w:szCs w:val="18"/>
              </w:rPr>
            </w:pPr>
          </w:p>
        </w:tc>
        <w:tc>
          <w:tcPr>
            <w:tcW w:w="640" w:type="dxa"/>
            <w:vMerge w:val="continue"/>
            <w:tcBorders>
              <w:top w:val="nil"/>
              <w:left w:val="single" w:color="auto" w:sz="4" w:space="0"/>
              <w:bottom w:val="nil"/>
              <w:right w:val="single" w:color="auto" w:sz="4" w:space="0"/>
            </w:tcBorders>
            <w:vAlign w:val="center"/>
          </w:tcPr>
          <w:p w14:paraId="20BAF4C3">
            <w:pPr>
              <w:widowControl/>
              <w:jc w:val="left"/>
              <w:rPr>
                <w:rFonts w:ascii="宋体" w:hAnsi="宋体"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14:paraId="7454CFF6">
            <w:pPr>
              <w:widowControl/>
              <w:jc w:val="left"/>
              <w:rPr>
                <w:rFonts w:ascii="宋体" w:hAnsi="宋体" w:cs="宋体"/>
                <w:kern w:val="0"/>
                <w:sz w:val="18"/>
                <w:szCs w:val="18"/>
              </w:rPr>
            </w:pPr>
            <w:r>
              <w:rPr>
                <w:rFonts w:hint="eastAsia" w:ascii="宋体" w:hAnsi="宋体" w:cs="宋体"/>
                <w:kern w:val="0"/>
                <w:sz w:val="18"/>
                <w:szCs w:val="18"/>
              </w:rPr>
              <w:t>无线电专业技术人员培训</w:t>
            </w:r>
          </w:p>
        </w:tc>
        <w:tc>
          <w:tcPr>
            <w:tcW w:w="1560" w:type="dxa"/>
            <w:tcBorders>
              <w:top w:val="nil"/>
              <w:left w:val="nil"/>
              <w:bottom w:val="single" w:color="auto" w:sz="4" w:space="0"/>
              <w:right w:val="single" w:color="auto" w:sz="4" w:space="0"/>
            </w:tcBorders>
            <w:shd w:val="clear" w:color="auto" w:fill="auto"/>
            <w:vAlign w:val="center"/>
          </w:tcPr>
          <w:p w14:paraId="5C9F20DB">
            <w:pPr>
              <w:widowControl/>
              <w:jc w:val="left"/>
              <w:rPr>
                <w:rFonts w:ascii="宋体" w:hAnsi="宋体" w:cs="宋体"/>
                <w:kern w:val="0"/>
                <w:sz w:val="18"/>
                <w:szCs w:val="18"/>
              </w:rPr>
            </w:pPr>
            <w:r>
              <w:rPr>
                <w:rFonts w:hint="eastAsia" w:ascii="宋体" w:hAnsi="宋体" w:cs="宋体"/>
                <w:kern w:val="0"/>
                <w:sz w:val="18"/>
                <w:szCs w:val="18"/>
              </w:rPr>
              <w:t>技术演练及培训</w:t>
            </w:r>
          </w:p>
        </w:tc>
        <w:tc>
          <w:tcPr>
            <w:tcW w:w="1540" w:type="dxa"/>
            <w:tcBorders>
              <w:top w:val="nil"/>
              <w:left w:val="nil"/>
              <w:bottom w:val="single" w:color="auto" w:sz="4" w:space="0"/>
              <w:right w:val="single" w:color="auto" w:sz="4" w:space="0"/>
            </w:tcBorders>
            <w:shd w:val="clear" w:color="auto" w:fill="auto"/>
            <w:vAlign w:val="center"/>
          </w:tcPr>
          <w:p w14:paraId="16715FCD">
            <w:pPr>
              <w:widowControl/>
              <w:jc w:val="left"/>
              <w:rPr>
                <w:rFonts w:ascii="宋体" w:hAnsi="宋体" w:cs="宋体"/>
                <w:kern w:val="0"/>
                <w:sz w:val="18"/>
                <w:szCs w:val="18"/>
              </w:rPr>
            </w:pPr>
            <w:r>
              <w:rPr>
                <w:rFonts w:hint="eastAsia" w:ascii="宋体" w:hAnsi="宋体" w:cs="宋体"/>
                <w:kern w:val="0"/>
                <w:sz w:val="18"/>
                <w:szCs w:val="18"/>
              </w:rPr>
              <w:t>技术演练及培训</w:t>
            </w:r>
          </w:p>
        </w:tc>
        <w:tc>
          <w:tcPr>
            <w:tcW w:w="900" w:type="dxa"/>
            <w:tcBorders>
              <w:top w:val="nil"/>
              <w:left w:val="nil"/>
              <w:bottom w:val="single" w:color="auto" w:sz="4" w:space="0"/>
              <w:right w:val="single" w:color="auto" w:sz="4" w:space="0"/>
            </w:tcBorders>
            <w:shd w:val="clear" w:color="auto" w:fill="auto"/>
            <w:vAlign w:val="center"/>
          </w:tcPr>
          <w:p w14:paraId="24D13E4D">
            <w:pPr>
              <w:widowControl/>
              <w:jc w:val="center"/>
              <w:rPr>
                <w:rFonts w:ascii="宋体" w:hAnsi="宋体" w:cs="宋体"/>
                <w:kern w:val="0"/>
                <w:sz w:val="18"/>
                <w:szCs w:val="18"/>
              </w:rPr>
            </w:pPr>
            <w:r>
              <w:rPr>
                <w:rFonts w:hint="eastAsia" w:ascii="宋体" w:hAnsi="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14:paraId="3FD06E1E">
            <w:pPr>
              <w:widowControl/>
              <w:jc w:val="left"/>
              <w:rPr>
                <w:rFonts w:ascii="宋体" w:hAnsi="宋体" w:cs="宋体"/>
                <w:kern w:val="0"/>
                <w:sz w:val="18"/>
                <w:szCs w:val="18"/>
              </w:rPr>
            </w:pPr>
            <w:r>
              <w:rPr>
                <w:rFonts w:hint="eastAsia" w:ascii="宋体" w:hAnsi="宋体" w:cs="宋体"/>
                <w:kern w:val="0"/>
                <w:sz w:val="18"/>
                <w:szCs w:val="18"/>
              </w:rPr>
              <w:t>　</w:t>
            </w:r>
          </w:p>
        </w:tc>
      </w:tr>
      <w:tr w14:paraId="45660D1A">
        <w:tblPrEx>
          <w:tblCellMar>
            <w:top w:w="0" w:type="dxa"/>
            <w:left w:w="108" w:type="dxa"/>
            <w:bottom w:w="0" w:type="dxa"/>
            <w:right w:w="108" w:type="dxa"/>
          </w:tblCellMar>
        </w:tblPrEx>
        <w:trPr>
          <w:trHeight w:val="630" w:hRule="atLeast"/>
        </w:trPr>
        <w:tc>
          <w:tcPr>
            <w:tcW w:w="740" w:type="dxa"/>
            <w:vMerge w:val="continue"/>
            <w:tcBorders>
              <w:top w:val="nil"/>
              <w:left w:val="single" w:color="auto" w:sz="4" w:space="0"/>
              <w:bottom w:val="nil"/>
              <w:right w:val="single" w:color="auto" w:sz="4" w:space="0"/>
            </w:tcBorders>
            <w:vAlign w:val="center"/>
          </w:tcPr>
          <w:p w14:paraId="34231AD5">
            <w:pPr>
              <w:widowControl/>
              <w:jc w:val="left"/>
              <w:rPr>
                <w:rFonts w:ascii="宋体" w:hAnsi="宋体" w:cs="宋体"/>
                <w:kern w:val="0"/>
                <w:sz w:val="18"/>
                <w:szCs w:val="18"/>
              </w:rPr>
            </w:pPr>
          </w:p>
        </w:tc>
        <w:tc>
          <w:tcPr>
            <w:tcW w:w="740" w:type="dxa"/>
            <w:vMerge w:val="continue"/>
            <w:tcBorders>
              <w:top w:val="single" w:color="auto" w:sz="4" w:space="0"/>
              <w:left w:val="single" w:color="auto" w:sz="4" w:space="0"/>
              <w:bottom w:val="nil"/>
              <w:right w:val="single" w:color="auto" w:sz="4" w:space="0"/>
            </w:tcBorders>
            <w:vAlign w:val="center"/>
          </w:tcPr>
          <w:p w14:paraId="7AE5D442">
            <w:pPr>
              <w:widowControl/>
              <w:jc w:val="left"/>
              <w:rPr>
                <w:rFonts w:ascii="宋体" w:hAnsi="宋体" w:cs="宋体"/>
                <w:kern w:val="0"/>
                <w:sz w:val="18"/>
                <w:szCs w:val="18"/>
              </w:rPr>
            </w:pPr>
          </w:p>
        </w:tc>
        <w:tc>
          <w:tcPr>
            <w:tcW w:w="640" w:type="dxa"/>
            <w:tcBorders>
              <w:top w:val="single" w:color="auto" w:sz="4" w:space="0"/>
              <w:left w:val="nil"/>
              <w:bottom w:val="nil"/>
              <w:right w:val="single" w:color="auto" w:sz="4" w:space="0"/>
            </w:tcBorders>
            <w:shd w:val="clear" w:color="auto" w:fill="auto"/>
            <w:vAlign w:val="center"/>
          </w:tcPr>
          <w:p w14:paraId="0B85D4D5">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1980" w:type="dxa"/>
            <w:tcBorders>
              <w:top w:val="nil"/>
              <w:left w:val="nil"/>
              <w:bottom w:val="single" w:color="auto" w:sz="4" w:space="0"/>
              <w:right w:val="single" w:color="auto" w:sz="4" w:space="0"/>
            </w:tcBorders>
            <w:shd w:val="clear" w:color="auto" w:fill="auto"/>
            <w:vAlign w:val="center"/>
          </w:tcPr>
          <w:p w14:paraId="0B100398">
            <w:pPr>
              <w:widowControl/>
              <w:jc w:val="left"/>
              <w:rPr>
                <w:rFonts w:ascii="宋体" w:hAnsi="宋体" w:cs="宋体"/>
                <w:kern w:val="0"/>
                <w:sz w:val="18"/>
                <w:szCs w:val="18"/>
              </w:rPr>
            </w:pPr>
            <w:r>
              <w:rPr>
                <w:rFonts w:hint="eastAsia" w:ascii="宋体" w:hAnsi="宋体" w:cs="宋体"/>
                <w:kern w:val="0"/>
                <w:sz w:val="18"/>
                <w:szCs w:val="18"/>
              </w:rPr>
              <w:t>完成无线电监测任务</w:t>
            </w:r>
          </w:p>
        </w:tc>
        <w:tc>
          <w:tcPr>
            <w:tcW w:w="1560" w:type="dxa"/>
            <w:tcBorders>
              <w:top w:val="nil"/>
              <w:left w:val="nil"/>
              <w:bottom w:val="single" w:color="auto" w:sz="4" w:space="0"/>
              <w:right w:val="single" w:color="auto" w:sz="4" w:space="0"/>
            </w:tcBorders>
            <w:shd w:val="clear" w:color="auto" w:fill="auto"/>
            <w:vAlign w:val="center"/>
          </w:tcPr>
          <w:p w14:paraId="494FFE4C">
            <w:pPr>
              <w:widowControl/>
              <w:jc w:val="left"/>
              <w:rPr>
                <w:rFonts w:ascii="宋体" w:hAnsi="宋体" w:cs="宋体"/>
                <w:kern w:val="0"/>
                <w:sz w:val="18"/>
                <w:szCs w:val="18"/>
              </w:rPr>
            </w:pPr>
            <w:r>
              <w:rPr>
                <w:rFonts w:hint="eastAsia" w:ascii="宋体" w:hAnsi="宋体" w:cs="宋体"/>
                <w:kern w:val="0"/>
                <w:sz w:val="18"/>
                <w:szCs w:val="18"/>
              </w:rPr>
              <w:t>1万余小时</w:t>
            </w:r>
          </w:p>
        </w:tc>
        <w:tc>
          <w:tcPr>
            <w:tcW w:w="1540" w:type="dxa"/>
            <w:tcBorders>
              <w:top w:val="nil"/>
              <w:left w:val="nil"/>
              <w:bottom w:val="single" w:color="auto" w:sz="4" w:space="0"/>
              <w:right w:val="single" w:color="auto" w:sz="4" w:space="0"/>
            </w:tcBorders>
            <w:shd w:val="clear" w:color="auto" w:fill="auto"/>
            <w:vAlign w:val="center"/>
          </w:tcPr>
          <w:p w14:paraId="6FAB270F">
            <w:pPr>
              <w:widowControl/>
              <w:jc w:val="left"/>
              <w:rPr>
                <w:rFonts w:ascii="宋体" w:hAnsi="宋体" w:cs="宋体"/>
                <w:kern w:val="0"/>
                <w:sz w:val="18"/>
                <w:szCs w:val="18"/>
              </w:rPr>
            </w:pPr>
            <w:r>
              <w:rPr>
                <w:rFonts w:hint="eastAsia" w:ascii="宋体" w:hAnsi="宋体" w:cs="宋体"/>
                <w:kern w:val="0"/>
                <w:sz w:val="18"/>
                <w:szCs w:val="18"/>
              </w:rPr>
              <w:t>1万余小时</w:t>
            </w:r>
          </w:p>
        </w:tc>
        <w:tc>
          <w:tcPr>
            <w:tcW w:w="900" w:type="dxa"/>
            <w:tcBorders>
              <w:top w:val="nil"/>
              <w:left w:val="nil"/>
              <w:bottom w:val="single" w:color="auto" w:sz="4" w:space="0"/>
              <w:right w:val="single" w:color="auto" w:sz="4" w:space="0"/>
            </w:tcBorders>
            <w:shd w:val="clear" w:color="auto" w:fill="auto"/>
            <w:vAlign w:val="center"/>
          </w:tcPr>
          <w:p w14:paraId="3A06A125">
            <w:pPr>
              <w:widowControl/>
              <w:jc w:val="center"/>
              <w:rPr>
                <w:rFonts w:ascii="宋体" w:hAnsi="宋体" w:cs="宋体"/>
                <w:kern w:val="0"/>
                <w:sz w:val="18"/>
                <w:szCs w:val="18"/>
              </w:rPr>
            </w:pPr>
            <w:r>
              <w:rPr>
                <w:rFonts w:hint="eastAsia" w:ascii="宋体" w:hAnsi="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14:paraId="0A61F15F">
            <w:pPr>
              <w:widowControl/>
              <w:jc w:val="left"/>
              <w:rPr>
                <w:rFonts w:ascii="宋体" w:hAnsi="宋体" w:cs="宋体"/>
                <w:kern w:val="0"/>
                <w:sz w:val="18"/>
                <w:szCs w:val="18"/>
              </w:rPr>
            </w:pPr>
            <w:r>
              <w:rPr>
                <w:rFonts w:hint="eastAsia" w:ascii="宋体" w:hAnsi="宋体" w:cs="宋体"/>
                <w:kern w:val="0"/>
                <w:sz w:val="18"/>
                <w:szCs w:val="18"/>
              </w:rPr>
              <w:t>　</w:t>
            </w:r>
          </w:p>
        </w:tc>
      </w:tr>
      <w:tr w14:paraId="3D3065B4">
        <w:tblPrEx>
          <w:tblCellMar>
            <w:top w:w="0" w:type="dxa"/>
            <w:left w:w="108" w:type="dxa"/>
            <w:bottom w:w="0" w:type="dxa"/>
            <w:right w:w="108" w:type="dxa"/>
          </w:tblCellMar>
        </w:tblPrEx>
        <w:trPr>
          <w:trHeight w:val="435" w:hRule="atLeast"/>
        </w:trPr>
        <w:tc>
          <w:tcPr>
            <w:tcW w:w="740" w:type="dxa"/>
            <w:vMerge w:val="continue"/>
            <w:tcBorders>
              <w:top w:val="nil"/>
              <w:left w:val="single" w:color="auto" w:sz="4" w:space="0"/>
              <w:bottom w:val="nil"/>
              <w:right w:val="single" w:color="auto" w:sz="4" w:space="0"/>
            </w:tcBorders>
            <w:vAlign w:val="center"/>
          </w:tcPr>
          <w:p w14:paraId="575C5F04">
            <w:pPr>
              <w:widowControl/>
              <w:jc w:val="left"/>
              <w:rPr>
                <w:rFonts w:ascii="宋体" w:hAnsi="宋体" w:cs="宋体"/>
                <w:kern w:val="0"/>
                <w:sz w:val="18"/>
                <w:szCs w:val="18"/>
              </w:rPr>
            </w:pPr>
          </w:p>
        </w:tc>
        <w:tc>
          <w:tcPr>
            <w:tcW w:w="740" w:type="dxa"/>
            <w:vMerge w:val="continue"/>
            <w:tcBorders>
              <w:top w:val="single" w:color="auto" w:sz="4" w:space="0"/>
              <w:left w:val="single" w:color="auto" w:sz="4" w:space="0"/>
              <w:bottom w:val="nil"/>
              <w:right w:val="single" w:color="auto" w:sz="4" w:space="0"/>
            </w:tcBorders>
            <w:vAlign w:val="center"/>
          </w:tcPr>
          <w:p w14:paraId="509A1A47">
            <w:pPr>
              <w:widowControl/>
              <w:jc w:val="left"/>
              <w:rPr>
                <w:rFonts w:ascii="宋体" w:hAnsi="宋体" w:cs="宋体"/>
                <w:kern w:val="0"/>
                <w:sz w:val="18"/>
                <w:szCs w:val="18"/>
              </w:rPr>
            </w:pPr>
          </w:p>
        </w:tc>
        <w:tc>
          <w:tcPr>
            <w:tcW w:w="640" w:type="dxa"/>
            <w:tcBorders>
              <w:top w:val="single" w:color="auto" w:sz="4" w:space="0"/>
              <w:left w:val="nil"/>
              <w:bottom w:val="nil"/>
              <w:right w:val="single" w:color="auto" w:sz="4" w:space="0"/>
            </w:tcBorders>
            <w:shd w:val="clear" w:color="auto" w:fill="auto"/>
            <w:vAlign w:val="center"/>
          </w:tcPr>
          <w:p w14:paraId="76B68210">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1980" w:type="dxa"/>
            <w:tcBorders>
              <w:top w:val="nil"/>
              <w:left w:val="nil"/>
              <w:bottom w:val="single" w:color="auto" w:sz="4" w:space="0"/>
              <w:right w:val="single" w:color="auto" w:sz="4" w:space="0"/>
            </w:tcBorders>
            <w:shd w:val="clear" w:color="auto" w:fill="auto"/>
            <w:vAlign w:val="center"/>
          </w:tcPr>
          <w:p w14:paraId="2FD2BC5D">
            <w:pPr>
              <w:widowControl/>
              <w:jc w:val="left"/>
              <w:rPr>
                <w:rFonts w:ascii="宋体" w:hAnsi="宋体" w:cs="宋体"/>
                <w:kern w:val="0"/>
                <w:sz w:val="18"/>
                <w:szCs w:val="18"/>
              </w:rPr>
            </w:pPr>
            <w:r>
              <w:rPr>
                <w:rFonts w:hint="eastAsia" w:ascii="宋体" w:hAnsi="宋体" w:cs="宋体"/>
                <w:kern w:val="0"/>
                <w:sz w:val="18"/>
                <w:szCs w:val="18"/>
              </w:rPr>
              <w:t>完成时间</w:t>
            </w:r>
          </w:p>
        </w:tc>
        <w:tc>
          <w:tcPr>
            <w:tcW w:w="1560" w:type="dxa"/>
            <w:tcBorders>
              <w:top w:val="nil"/>
              <w:left w:val="nil"/>
              <w:bottom w:val="single" w:color="auto" w:sz="4" w:space="0"/>
              <w:right w:val="single" w:color="auto" w:sz="4" w:space="0"/>
            </w:tcBorders>
            <w:shd w:val="clear" w:color="auto" w:fill="auto"/>
            <w:vAlign w:val="center"/>
          </w:tcPr>
          <w:p w14:paraId="612BE1F1">
            <w:pPr>
              <w:widowControl/>
              <w:jc w:val="left"/>
              <w:rPr>
                <w:rFonts w:ascii="宋体" w:hAnsi="宋体" w:cs="宋体"/>
                <w:kern w:val="0"/>
                <w:sz w:val="18"/>
                <w:szCs w:val="18"/>
              </w:rPr>
            </w:pPr>
            <w:r>
              <w:rPr>
                <w:rFonts w:hint="eastAsia" w:ascii="宋体" w:hAnsi="宋体" w:cs="宋体"/>
                <w:kern w:val="0"/>
                <w:sz w:val="18"/>
                <w:szCs w:val="18"/>
              </w:rPr>
              <w:t>2020年全年</w:t>
            </w:r>
          </w:p>
        </w:tc>
        <w:tc>
          <w:tcPr>
            <w:tcW w:w="1540" w:type="dxa"/>
            <w:tcBorders>
              <w:top w:val="nil"/>
              <w:left w:val="nil"/>
              <w:bottom w:val="single" w:color="auto" w:sz="4" w:space="0"/>
              <w:right w:val="single" w:color="auto" w:sz="4" w:space="0"/>
            </w:tcBorders>
            <w:shd w:val="clear" w:color="auto" w:fill="auto"/>
            <w:vAlign w:val="center"/>
          </w:tcPr>
          <w:p w14:paraId="5B77B297">
            <w:pPr>
              <w:widowControl/>
              <w:jc w:val="left"/>
              <w:rPr>
                <w:rFonts w:ascii="宋体" w:hAnsi="宋体" w:cs="宋体"/>
                <w:kern w:val="0"/>
                <w:sz w:val="18"/>
                <w:szCs w:val="18"/>
              </w:rPr>
            </w:pPr>
            <w:r>
              <w:rPr>
                <w:rFonts w:hint="eastAsia" w:ascii="宋体" w:hAnsi="宋体" w:cs="宋体"/>
                <w:kern w:val="0"/>
                <w:sz w:val="18"/>
                <w:szCs w:val="18"/>
              </w:rPr>
              <w:t>2020年全年</w:t>
            </w:r>
          </w:p>
        </w:tc>
        <w:tc>
          <w:tcPr>
            <w:tcW w:w="900" w:type="dxa"/>
            <w:tcBorders>
              <w:top w:val="nil"/>
              <w:left w:val="nil"/>
              <w:bottom w:val="single" w:color="auto" w:sz="4" w:space="0"/>
              <w:right w:val="single" w:color="auto" w:sz="4" w:space="0"/>
            </w:tcBorders>
            <w:shd w:val="clear" w:color="auto" w:fill="auto"/>
            <w:vAlign w:val="center"/>
          </w:tcPr>
          <w:p w14:paraId="341818F8">
            <w:pPr>
              <w:widowControl/>
              <w:jc w:val="center"/>
              <w:rPr>
                <w:rFonts w:ascii="宋体" w:hAnsi="宋体" w:cs="宋体"/>
                <w:kern w:val="0"/>
                <w:sz w:val="18"/>
                <w:szCs w:val="18"/>
              </w:rPr>
            </w:pPr>
            <w:r>
              <w:rPr>
                <w:rFonts w:hint="eastAsia" w:ascii="宋体" w:hAnsi="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14:paraId="39FD0F2A">
            <w:pPr>
              <w:widowControl/>
              <w:jc w:val="left"/>
              <w:rPr>
                <w:rFonts w:ascii="宋体" w:hAnsi="宋体" w:cs="宋体"/>
                <w:kern w:val="0"/>
                <w:sz w:val="18"/>
                <w:szCs w:val="18"/>
              </w:rPr>
            </w:pPr>
            <w:r>
              <w:rPr>
                <w:rFonts w:hint="eastAsia" w:ascii="宋体" w:hAnsi="宋体" w:cs="宋体"/>
                <w:kern w:val="0"/>
                <w:sz w:val="18"/>
                <w:szCs w:val="18"/>
              </w:rPr>
              <w:t>　</w:t>
            </w:r>
          </w:p>
        </w:tc>
      </w:tr>
      <w:tr w14:paraId="6198CBA7">
        <w:tblPrEx>
          <w:tblCellMar>
            <w:top w:w="0" w:type="dxa"/>
            <w:left w:w="108" w:type="dxa"/>
            <w:bottom w:w="0" w:type="dxa"/>
            <w:right w:w="108" w:type="dxa"/>
          </w:tblCellMar>
        </w:tblPrEx>
        <w:trPr>
          <w:trHeight w:val="435" w:hRule="atLeast"/>
        </w:trPr>
        <w:tc>
          <w:tcPr>
            <w:tcW w:w="740" w:type="dxa"/>
            <w:vMerge w:val="continue"/>
            <w:tcBorders>
              <w:top w:val="nil"/>
              <w:left w:val="single" w:color="auto" w:sz="4" w:space="0"/>
              <w:bottom w:val="nil"/>
              <w:right w:val="single" w:color="auto" w:sz="4" w:space="0"/>
            </w:tcBorders>
            <w:vAlign w:val="center"/>
          </w:tcPr>
          <w:p w14:paraId="63FAAB53">
            <w:pPr>
              <w:widowControl/>
              <w:jc w:val="left"/>
              <w:rPr>
                <w:rFonts w:ascii="宋体" w:hAnsi="宋体" w:cs="宋体"/>
                <w:kern w:val="0"/>
                <w:sz w:val="18"/>
                <w:szCs w:val="18"/>
              </w:rPr>
            </w:pPr>
          </w:p>
        </w:tc>
        <w:tc>
          <w:tcPr>
            <w:tcW w:w="740" w:type="dxa"/>
            <w:vMerge w:val="continue"/>
            <w:tcBorders>
              <w:top w:val="single" w:color="auto" w:sz="4" w:space="0"/>
              <w:left w:val="single" w:color="auto" w:sz="4" w:space="0"/>
              <w:bottom w:val="nil"/>
              <w:right w:val="single" w:color="auto" w:sz="4" w:space="0"/>
            </w:tcBorders>
            <w:vAlign w:val="center"/>
          </w:tcPr>
          <w:p w14:paraId="10384C4D">
            <w:pPr>
              <w:widowControl/>
              <w:jc w:val="left"/>
              <w:rPr>
                <w:rFonts w:ascii="宋体" w:hAnsi="宋体" w:cs="宋体"/>
                <w:kern w:val="0"/>
                <w:sz w:val="18"/>
                <w:szCs w:val="18"/>
              </w:rPr>
            </w:pPr>
          </w:p>
        </w:tc>
        <w:tc>
          <w:tcPr>
            <w:tcW w:w="640" w:type="dxa"/>
            <w:vMerge w:val="restart"/>
            <w:tcBorders>
              <w:top w:val="single" w:color="auto" w:sz="4" w:space="0"/>
              <w:left w:val="single" w:color="auto" w:sz="4" w:space="0"/>
              <w:bottom w:val="nil"/>
              <w:right w:val="single" w:color="auto" w:sz="4" w:space="0"/>
            </w:tcBorders>
            <w:shd w:val="clear" w:color="auto" w:fill="auto"/>
            <w:vAlign w:val="center"/>
          </w:tcPr>
          <w:p w14:paraId="22976BC2">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1980" w:type="dxa"/>
            <w:tcBorders>
              <w:top w:val="nil"/>
              <w:left w:val="nil"/>
              <w:bottom w:val="single" w:color="auto" w:sz="4" w:space="0"/>
              <w:right w:val="single" w:color="auto" w:sz="4" w:space="0"/>
            </w:tcBorders>
            <w:shd w:val="clear" w:color="auto" w:fill="auto"/>
            <w:vAlign w:val="center"/>
          </w:tcPr>
          <w:p w14:paraId="752D2C39">
            <w:pPr>
              <w:widowControl/>
              <w:jc w:val="left"/>
              <w:rPr>
                <w:rFonts w:ascii="宋体" w:hAnsi="宋体" w:cs="宋体"/>
                <w:kern w:val="0"/>
                <w:sz w:val="18"/>
                <w:szCs w:val="18"/>
              </w:rPr>
            </w:pPr>
            <w:r>
              <w:rPr>
                <w:rFonts w:hint="eastAsia" w:ascii="宋体" w:hAnsi="宋体" w:cs="宋体"/>
                <w:kern w:val="0"/>
                <w:sz w:val="18"/>
                <w:szCs w:val="18"/>
              </w:rPr>
              <w:t>房屋运行维护支出</w:t>
            </w:r>
          </w:p>
        </w:tc>
        <w:tc>
          <w:tcPr>
            <w:tcW w:w="1560" w:type="dxa"/>
            <w:tcBorders>
              <w:top w:val="nil"/>
              <w:left w:val="nil"/>
              <w:bottom w:val="single" w:color="auto" w:sz="4" w:space="0"/>
              <w:right w:val="single" w:color="auto" w:sz="4" w:space="0"/>
            </w:tcBorders>
            <w:shd w:val="clear" w:color="auto" w:fill="auto"/>
            <w:vAlign w:val="center"/>
          </w:tcPr>
          <w:p w14:paraId="6EFCF7FE">
            <w:pPr>
              <w:widowControl/>
              <w:jc w:val="left"/>
              <w:rPr>
                <w:rFonts w:ascii="宋体" w:hAnsi="宋体" w:cs="宋体"/>
                <w:kern w:val="0"/>
                <w:sz w:val="18"/>
                <w:szCs w:val="18"/>
              </w:rPr>
            </w:pPr>
            <w:r>
              <w:rPr>
                <w:rFonts w:hint="eastAsia" w:ascii="宋体" w:hAnsi="宋体" w:cs="宋体"/>
                <w:kern w:val="0"/>
                <w:sz w:val="18"/>
                <w:szCs w:val="18"/>
              </w:rPr>
              <w:t>6.77万元</w:t>
            </w:r>
          </w:p>
        </w:tc>
        <w:tc>
          <w:tcPr>
            <w:tcW w:w="1540" w:type="dxa"/>
            <w:tcBorders>
              <w:top w:val="nil"/>
              <w:left w:val="nil"/>
              <w:bottom w:val="single" w:color="auto" w:sz="4" w:space="0"/>
              <w:right w:val="single" w:color="auto" w:sz="4" w:space="0"/>
            </w:tcBorders>
            <w:shd w:val="clear" w:color="auto" w:fill="auto"/>
            <w:vAlign w:val="center"/>
          </w:tcPr>
          <w:p w14:paraId="247D93EE">
            <w:pPr>
              <w:widowControl/>
              <w:jc w:val="left"/>
              <w:rPr>
                <w:rFonts w:ascii="宋体" w:hAnsi="宋体" w:cs="宋体"/>
                <w:kern w:val="0"/>
                <w:sz w:val="18"/>
                <w:szCs w:val="18"/>
              </w:rPr>
            </w:pPr>
            <w:r>
              <w:rPr>
                <w:rFonts w:hint="eastAsia" w:ascii="宋体" w:hAnsi="宋体" w:cs="宋体"/>
                <w:kern w:val="0"/>
                <w:sz w:val="18"/>
                <w:szCs w:val="18"/>
              </w:rPr>
              <w:t>6.77万元</w:t>
            </w:r>
          </w:p>
        </w:tc>
        <w:tc>
          <w:tcPr>
            <w:tcW w:w="900" w:type="dxa"/>
            <w:tcBorders>
              <w:top w:val="nil"/>
              <w:left w:val="nil"/>
              <w:bottom w:val="single" w:color="auto" w:sz="4" w:space="0"/>
              <w:right w:val="single" w:color="auto" w:sz="4" w:space="0"/>
            </w:tcBorders>
            <w:shd w:val="clear" w:color="auto" w:fill="auto"/>
            <w:vAlign w:val="center"/>
          </w:tcPr>
          <w:p w14:paraId="7FA2AFCC">
            <w:pPr>
              <w:widowControl/>
              <w:jc w:val="center"/>
              <w:rPr>
                <w:rFonts w:ascii="宋体" w:hAnsi="宋体" w:cs="宋体"/>
                <w:kern w:val="0"/>
                <w:sz w:val="18"/>
                <w:szCs w:val="18"/>
              </w:rPr>
            </w:pPr>
            <w:r>
              <w:rPr>
                <w:rFonts w:hint="eastAsia" w:ascii="宋体" w:hAnsi="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14:paraId="242C06DF">
            <w:pPr>
              <w:widowControl/>
              <w:jc w:val="left"/>
              <w:rPr>
                <w:rFonts w:ascii="宋体" w:hAnsi="宋体" w:cs="宋体"/>
                <w:kern w:val="0"/>
                <w:sz w:val="18"/>
                <w:szCs w:val="18"/>
              </w:rPr>
            </w:pPr>
            <w:r>
              <w:rPr>
                <w:rFonts w:hint="eastAsia" w:ascii="宋体" w:hAnsi="宋体" w:cs="宋体"/>
                <w:kern w:val="0"/>
                <w:sz w:val="18"/>
                <w:szCs w:val="18"/>
              </w:rPr>
              <w:t>　</w:t>
            </w:r>
          </w:p>
        </w:tc>
      </w:tr>
      <w:tr w14:paraId="37517721">
        <w:tblPrEx>
          <w:tblCellMar>
            <w:top w:w="0" w:type="dxa"/>
            <w:left w:w="108" w:type="dxa"/>
            <w:bottom w:w="0" w:type="dxa"/>
            <w:right w:w="108" w:type="dxa"/>
          </w:tblCellMar>
        </w:tblPrEx>
        <w:trPr>
          <w:trHeight w:val="435" w:hRule="atLeast"/>
        </w:trPr>
        <w:tc>
          <w:tcPr>
            <w:tcW w:w="740" w:type="dxa"/>
            <w:vMerge w:val="continue"/>
            <w:tcBorders>
              <w:top w:val="nil"/>
              <w:left w:val="single" w:color="auto" w:sz="4" w:space="0"/>
              <w:bottom w:val="nil"/>
              <w:right w:val="single" w:color="auto" w:sz="4" w:space="0"/>
            </w:tcBorders>
            <w:vAlign w:val="center"/>
          </w:tcPr>
          <w:p w14:paraId="7627FA47">
            <w:pPr>
              <w:widowControl/>
              <w:jc w:val="left"/>
              <w:rPr>
                <w:rFonts w:ascii="宋体" w:hAnsi="宋体" w:cs="宋体"/>
                <w:kern w:val="0"/>
                <w:sz w:val="18"/>
                <w:szCs w:val="18"/>
              </w:rPr>
            </w:pPr>
          </w:p>
        </w:tc>
        <w:tc>
          <w:tcPr>
            <w:tcW w:w="740" w:type="dxa"/>
            <w:vMerge w:val="continue"/>
            <w:tcBorders>
              <w:top w:val="single" w:color="auto" w:sz="4" w:space="0"/>
              <w:left w:val="single" w:color="auto" w:sz="4" w:space="0"/>
              <w:bottom w:val="nil"/>
              <w:right w:val="single" w:color="auto" w:sz="4" w:space="0"/>
            </w:tcBorders>
            <w:vAlign w:val="center"/>
          </w:tcPr>
          <w:p w14:paraId="271D9987">
            <w:pPr>
              <w:widowControl/>
              <w:jc w:val="left"/>
              <w:rPr>
                <w:rFonts w:ascii="宋体" w:hAnsi="宋体" w:cs="宋体"/>
                <w:kern w:val="0"/>
                <w:sz w:val="18"/>
                <w:szCs w:val="18"/>
              </w:rPr>
            </w:pPr>
          </w:p>
        </w:tc>
        <w:tc>
          <w:tcPr>
            <w:tcW w:w="640" w:type="dxa"/>
            <w:vMerge w:val="continue"/>
            <w:tcBorders>
              <w:top w:val="single" w:color="auto" w:sz="4" w:space="0"/>
              <w:left w:val="single" w:color="auto" w:sz="4" w:space="0"/>
              <w:bottom w:val="nil"/>
              <w:right w:val="single" w:color="auto" w:sz="4" w:space="0"/>
            </w:tcBorders>
            <w:vAlign w:val="center"/>
          </w:tcPr>
          <w:p w14:paraId="5C72C393">
            <w:pPr>
              <w:widowControl/>
              <w:jc w:val="left"/>
              <w:rPr>
                <w:rFonts w:ascii="宋体" w:hAnsi="宋体"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14:paraId="7E964CCD">
            <w:pPr>
              <w:widowControl/>
              <w:jc w:val="left"/>
              <w:rPr>
                <w:rFonts w:ascii="宋体" w:hAnsi="宋体" w:cs="宋体"/>
                <w:kern w:val="0"/>
                <w:sz w:val="18"/>
                <w:szCs w:val="18"/>
              </w:rPr>
            </w:pPr>
            <w:r>
              <w:rPr>
                <w:rFonts w:hint="eastAsia" w:ascii="宋体" w:hAnsi="宋体" w:cs="宋体"/>
                <w:kern w:val="0"/>
                <w:sz w:val="18"/>
                <w:szCs w:val="18"/>
              </w:rPr>
              <w:t>车辆运行维护支出</w:t>
            </w:r>
          </w:p>
        </w:tc>
        <w:tc>
          <w:tcPr>
            <w:tcW w:w="1560" w:type="dxa"/>
            <w:tcBorders>
              <w:top w:val="nil"/>
              <w:left w:val="nil"/>
              <w:bottom w:val="single" w:color="auto" w:sz="4" w:space="0"/>
              <w:right w:val="single" w:color="auto" w:sz="4" w:space="0"/>
            </w:tcBorders>
            <w:shd w:val="clear" w:color="auto" w:fill="auto"/>
            <w:vAlign w:val="center"/>
          </w:tcPr>
          <w:p w14:paraId="1A26E5C8">
            <w:pPr>
              <w:widowControl/>
              <w:jc w:val="left"/>
              <w:rPr>
                <w:rFonts w:ascii="宋体" w:hAnsi="宋体" w:cs="宋体"/>
                <w:kern w:val="0"/>
                <w:sz w:val="18"/>
                <w:szCs w:val="18"/>
              </w:rPr>
            </w:pPr>
            <w:r>
              <w:rPr>
                <w:rFonts w:hint="eastAsia" w:ascii="宋体" w:hAnsi="宋体" w:cs="宋体"/>
                <w:kern w:val="0"/>
                <w:sz w:val="18"/>
                <w:szCs w:val="18"/>
              </w:rPr>
              <w:t>0.54万元</w:t>
            </w:r>
          </w:p>
        </w:tc>
        <w:tc>
          <w:tcPr>
            <w:tcW w:w="1540" w:type="dxa"/>
            <w:tcBorders>
              <w:top w:val="nil"/>
              <w:left w:val="nil"/>
              <w:bottom w:val="single" w:color="auto" w:sz="4" w:space="0"/>
              <w:right w:val="single" w:color="auto" w:sz="4" w:space="0"/>
            </w:tcBorders>
            <w:shd w:val="clear" w:color="auto" w:fill="auto"/>
            <w:vAlign w:val="center"/>
          </w:tcPr>
          <w:p w14:paraId="659EFFD4">
            <w:pPr>
              <w:widowControl/>
              <w:jc w:val="left"/>
              <w:rPr>
                <w:rFonts w:ascii="宋体" w:hAnsi="宋体" w:cs="宋体"/>
                <w:kern w:val="0"/>
                <w:sz w:val="18"/>
                <w:szCs w:val="18"/>
              </w:rPr>
            </w:pPr>
            <w:r>
              <w:rPr>
                <w:rFonts w:hint="eastAsia" w:ascii="宋体" w:hAnsi="宋体" w:cs="宋体"/>
                <w:kern w:val="0"/>
                <w:sz w:val="18"/>
                <w:szCs w:val="18"/>
              </w:rPr>
              <w:t>0.54万元</w:t>
            </w:r>
          </w:p>
        </w:tc>
        <w:tc>
          <w:tcPr>
            <w:tcW w:w="900" w:type="dxa"/>
            <w:tcBorders>
              <w:top w:val="nil"/>
              <w:left w:val="nil"/>
              <w:bottom w:val="single" w:color="auto" w:sz="4" w:space="0"/>
              <w:right w:val="single" w:color="auto" w:sz="4" w:space="0"/>
            </w:tcBorders>
            <w:shd w:val="clear" w:color="auto" w:fill="auto"/>
            <w:vAlign w:val="center"/>
          </w:tcPr>
          <w:p w14:paraId="1D77D61D">
            <w:pPr>
              <w:widowControl/>
              <w:jc w:val="center"/>
              <w:rPr>
                <w:rFonts w:ascii="宋体" w:hAnsi="宋体" w:cs="宋体"/>
                <w:kern w:val="0"/>
                <w:sz w:val="18"/>
                <w:szCs w:val="18"/>
              </w:rPr>
            </w:pPr>
            <w:r>
              <w:rPr>
                <w:rFonts w:hint="eastAsia" w:ascii="宋体" w:hAnsi="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14:paraId="0638C987">
            <w:pPr>
              <w:widowControl/>
              <w:jc w:val="left"/>
              <w:rPr>
                <w:rFonts w:ascii="宋体" w:hAnsi="宋体" w:cs="宋体"/>
                <w:kern w:val="0"/>
                <w:sz w:val="18"/>
                <w:szCs w:val="18"/>
              </w:rPr>
            </w:pPr>
            <w:r>
              <w:rPr>
                <w:rFonts w:hint="eastAsia" w:ascii="宋体" w:hAnsi="宋体" w:cs="宋体"/>
                <w:kern w:val="0"/>
                <w:sz w:val="18"/>
                <w:szCs w:val="18"/>
              </w:rPr>
              <w:t>　</w:t>
            </w:r>
          </w:p>
        </w:tc>
      </w:tr>
      <w:tr w14:paraId="1F47AFFF">
        <w:tblPrEx>
          <w:tblCellMar>
            <w:top w:w="0" w:type="dxa"/>
            <w:left w:w="108" w:type="dxa"/>
            <w:bottom w:w="0" w:type="dxa"/>
            <w:right w:w="108" w:type="dxa"/>
          </w:tblCellMar>
        </w:tblPrEx>
        <w:trPr>
          <w:trHeight w:val="435" w:hRule="atLeast"/>
        </w:trPr>
        <w:tc>
          <w:tcPr>
            <w:tcW w:w="740" w:type="dxa"/>
            <w:vMerge w:val="continue"/>
            <w:tcBorders>
              <w:top w:val="nil"/>
              <w:left w:val="single" w:color="auto" w:sz="4" w:space="0"/>
              <w:bottom w:val="nil"/>
              <w:right w:val="single" w:color="auto" w:sz="4" w:space="0"/>
            </w:tcBorders>
            <w:vAlign w:val="center"/>
          </w:tcPr>
          <w:p w14:paraId="67987382">
            <w:pPr>
              <w:widowControl/>
              <w:jc w:val="left"/>
              <w:rPr>
                <w:rFonts w:ascii="宋体" w:hAnsi="宋体" w:cs="宋体"/>
                <w:kern w:val="0"/>
                <w:sz w:val="18"/>
                <w:szCs w:val="18"/>
              </w:rPr>
            </w:pPr>
          </w:p>
        </w:tc>
        <w:tc>
          <w:tcPr>
            <w:tcW w:w="740" w:type="dxa"/>
            <w:vMerge w:val="continue"/>
            <w:tcBorders>
              <w:top w:val="single" w:color="auto" w:sz="4" w:space="0"/>
              <w:left w:val="single" w:color="auto" w:sz="4" w:space="0"/>
              <w:bottom w:val="nil"/>
              <w:right w:val="single" w:color="auto" w:sz="4" w:space="0"/>
            </w:tcBorders>
            <w:vAlign w:val="center"/>
          </w:tcPr>
          <w:p w14:paraId="4135D39A">
            <w:pPr>
              <w:widowControl/>
              <w:jc w:val="left"/>
              <w:rPr>
                <w:rFonts w:ascii="宋体" w:hAnsi="宋体" w:cs="宋体"/>
                <w:kern w:val="0"/>
                <w:sz w:val="18"/>
                <w:szCs w:val="18"/>
              </w:rPr>
            </w:pPr>
          </w:p>
        </w:tc>
        <w:tc>
          <w:tcPr>
            <w:tcW w:w="640" w:type="dxa"/>
            <w:vMerge w:val="continue"/>
            <w:tcBorders>
              <w:top w:val="single" w:color="auto" w:sz="4" w:space="0"/>
              <w:left w:val="single" w:color="auto" w:sz="4" w:space="0"/>
              <w:bottom w:val="nil"/>
              <w:right w:val="single" w:color="auto" w:sz="4" w:space="0"/>
            </w:tcBorders>
            <w:vAlign w:val="center"/>
          </w:tcPr>
          <w:p w14:paraId="109749F7">
            <w:pPr>
              <w:widowControl/>
              <w:jc w:val="left"/>
              <w:rPr>
                <w:rFonts w:ascii="宋体" w:hAnsi="宋体"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14:paraId="0218FE97">
            <w:pPr>
              <w:widowControl/>
              <w:jc w:val="left"/>
              <w:rPr>
                <w:rFonts w:ascii="宋体" w:hAnsi="宋体" w:cs="宋体"/>
                <w:kern w:val="0"/>
                <w:sz w:val="18"/>
                <w:szCs w:val="18"/>
              </w:rPr>
            </w:pPr>
            <w:r>
              <w:rPr>
                <w:rFonts w:hint="eastAsia" w:ascii="宋体" w:hAnsi="宋体" w:cs="宋体"/>
                <w:kern w:val="0"/>
                <w:sz w:val="18"/>
                <w:szCs w:val="18"/>
              </w:rPr>
              <w:t>设备运行维护支出</w:t>
            </w:r>
          </w:p>
        </w:tc>
        <w:tc>
          <w:tcPr>
            <w:tcW w:w="1560" w:type="dxa"/>
            <w:tcBorders>
              <w:top w:val="nil"/>
              <w:left w:val="nil"/>
              <w:bottom w:val="single" w:color="auto" w:sz="4" w:space="0"/>
              <w:right w:val="single" w:color="auto" w:sz="4" w:space="0"/>
            </w:tcBorders>
            <w:shd w:val="clear" w:color="auto" w:fill="auto"/>
            <w:vAlign w:val="center"/>
          </w:tcPr>
          <w:p w14:paraId="4180E10F">
            <w:pPr>
              <w:widowControl/>
              <w:jc w:val="left"/>
              <w:rPr>
                <w:rFonts w:ascii="宋体" w:hAnsi="宋体" w:cs="宋体"/>
                <w:kern w:val="0"/>
                <w:sz w:val="18"/>
                <w:szCs w:val="18"/>
              </w:rPr>
            </w:pPr>
            <w:r>
              <w:rPr>
                <w:rFonts w:hint="eastAsia" w:ascii="宋体" w:hAnsi="宋体" w:cs="宋体"/>
                <w:kern w:val="0"/>
                <w:sz w:val="18"/>
                <w:szCs w:val="18"/>
              </w:rPr>
              <w:t>0.1万元</w:t>
            </w:r>
          </w:p>
        </w:tc>
        <w:tc>
          <w:tcPr>
            <w:tcW w:w="1540" w:type="dxa"/>
            <w:tcBorders>
              <w:top w:val="nil"/>
              <w:left w:val="nil"/>
              <w:bottom w:val="single" w:color="auto" w:sz="4" w:space="0"/>
              <w:right w:val="single" w:color="auto" w:sz="4" w:space="0"/>
            </w:tcBorders>
            <w:shd w:val="clear" w:color="auto" w:fill="auto"/>
            <w:vAlign w:val="center"/>
          </w:tcPr>
          <w:p w14:paraId="16271933">
            <w:pPr>
              <w:widowControl/>
              <w:jc w:val="left"/>
              <w:rPr>
                <w:rFonts w:ascii="宋体" w:hAnsi="宋体" w:cs="宋体"/>
                <w:kern w:val="0"/>
                <w:sz w:val="18"/>
                <w:szCs w:val="18"/>
              </w:rPr>
            </w:pPr>
            <w:r>
              <w:rPr>
                <w:rFonts w:hint="eastAsia" w:ascii="宋体" w:hAnsi="宋体" w:cs="宋体"/>
                <w:kern w:val="0"/>
                <w:sz w:val="18"/>
                <w:szCs w:val="18"/>
              </w:rPr>
              <w:t>0.1万元</w:t>
            </w:r>
          </w:p>
        </w:tc>
        <w:tc>
          <w:tcPr>
            <w:tcW w:w="900" w:type="dxa"/>
            <w:tcBorders>
              <w:top w:val="nil"/>
              <w:left w:val="nil"/>
              <w:bottom w:val="single" w:color="auto" w:sz="4" w:space="0"/>
              <w:right w:val="single" w:color="auto" w:sz="4" w:space="0"/>
            </w:tcBorders>
            <w:shd w:val="clear" w:color="auto" w:fill="auto"/>
            <w:vAlign w:val="center"/>
          </w:tcPr>
          <w:p w14:paraId="6E1089BB">
            <w:pPr>
              <w:widowControl/>
              <w:jc w:val="center"/>
              <w:rPr>
                <w:rFonts w:ascii="宋体" w:hAnsi="宋体" w:cs="宋体"/>
                <w:kern w:val="0"/>
                <w:sz w:val="18"/>
                <w:szCs w:val="18"/>
              </w:rPr>
            </w:pPr>
            <w:r>
              <w:rPr>
                <w:rFonts w:hint="eastAsia" w:ascii="宋体" w:hAnsi="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14:paraId="47B2BC12">
            <w:pPr>
              <w:widowControl/>
              <w:jc w:val="left"/>
              <w:rPr>
                <w:rFonts w:ascii="宋体" w:hAnsi="宋体" w:cs="宋体"/>
                <w:kern w:val="0"/>
                <w:sz w:val="18"/>
                <w:szCs w:val="18"/>
              </w:rPr>
            </w:pPr>
            <w:r>
              <w:rPr>
                <w:rFonts w:hint="eastAsia" w:ascii="宋体" w:hAnsi="宋体" w:cs="宋体"/>
                <w:kern w:val="0"/>
                <w:sz w:val="18"/>
                <w:szCs w:val="18"/>
              </w:rPr>
              <w:t>　</w:t>
            </w:r>
          </w:p>
        </w:tc>
      </w:tr>
      <w:tr w14:paraId="1B08FA8B">
        <w:tblPrEx>
          <w:tblCellMar>
            <w:top w:w="0" w:type="dxa"/>
            <w:left w:w="108" w:type="dxa"/>
            <w:bottom w:w="0" w:type="dxa"/>
            <w:right w:w="108" w:type="dxa"/>
          </w:tblCellMar>
        </w:tblPrEx>
        <w:trPr>
          <w:trHeight w:val="435" w:hRule="atLeast"/>
        </w:trPr>
        <w:tc>
          <w:tcPr>
            <w:tcW w:w="740" w:type="dxa"/>
            <w:vMerge w:val="continue"/>
            <w:tcBorders>
              <w:top w:val="nil"/>
              <w:left w:val="single" w:color="auto" w:sz="4" w:space="0"/>
              <w:bottom w:val="nil"/>
              <w:right w:val="single" w:color="auto" w:sz="4" w:space="0"/>
            </w:tcBorders>
            <w:vAlign w:val="center"/>
          </w:tcPr>
          <w:p w14:paraId="1C5B4BBD">
            <w:pPr>
              <w:widowControl/>
              <w:jc w:val="left"/>
              <w:rPr>
                <w:rFonts w:ascii="宋体" w:hAnsi="宋体" w:cs="宋体"/>
                <w:kern w:val="0"/>
                <w:sz w:val="18"/>
                <w:szCs w:val="18"/>
              </w:rPr>
            </w:pPr>
          </w:p>
        </w:tc>
        <w:tc>
          <w:tcPr>
            <w:tcW w:w="740" w:type="dxa"/>
            <w:vMerge w:val="continue"/>
            <w:tcBorders>
              <w:top w:val="single" w:color="auto" w:sz="4" w:space="0"/>
              <w:left w:val="single" w:color="auto" w:sz="4" w:space="0"/>
              <w:bottom w:val="nil"/>
              <w:right w:val="single" w:color="auto" w:sz="4" w:space="0"/>
            </w:tcBorders>
            <w:vAlign w:val="center"/>
          </w:tcPr>
          <w:p w14:paraId="1FDBB3CD">
            <w:pPr>
              <w:widowControl/>
              <w:jc w:val="left"/>
              <w:rPr>
                <w:rFonts w:ascii="宋体" w:hAnsi="宋体" w:cs="宋体"/>
                <w:kern w:val="0"/>
                <w:sz w:val="18"/>
                <w:szCs w:val="18"/>
              </w:rPr>
            </w:pPr>
          </w:p>
        </w:tc>
        <w:tc>
          <w:tcPr>
            <w:tcW w:w="640" w:type="dxa"/>
            <w:vMerge w:val="continue"/>
            <w:tcBorders>
              <w:top w:val="single" w:color="auto" w:sz="4" w:space="0"/>
              <w:left w:val="single" w:color="auto" w:sz="4" w:space="0"/>
              <w:bottom w:val="nil"/>
              <w:right w:val="single" w:color="auto" w:sz="4" w:space="0"/>
            </w:tcBorders>
            <w:vAlign w:val="center"/>
          </w:tcPr>
          <w:p w14:paraId="597D2FAE">
            <w:pPr>
              <w:widowControl/>
              <w:jc w:val="left"/>
              <w:rPr>
                <w:rFonts w:ascii="宋体" w:hAnsi="宋体"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14:paraId="138217E9">
            <w:pPr>
              <w:widowControl/>
              <w:jc w:val="left"/>
              <w:rPr>
                <w:rFonts w:ascii="宋体" w:hAnsi="宋体" w:cs="宋体"/>
                <w:kern w:val="0"/>
                <w:sz w:val="18"/>
                <w:szCs w:val="18"/>
              </w:rPr>
            </w:pPr>
            <w:r>
              <w:rPr>
                <w:rFonts w:hint="eastAsia" w:ascii="宋体" w:hAnsi="宋体" w:cs="宋体"/>
                <w:kern w:val="0"/>
                <w:sz w:val="18"/>
                <w:szCs w:val="18"/>
              </w:rPr>
              <w:t>专项监管支出</w:t>
            </w:r>
          </w:p>
        </w:tc>
        <w:tc>
          <w:tcPr>
            <w:tcW w:w="1560" w:type="dxa"/>
            <w:tcBorders>
              <w:top w:val="nil"/>
              <w:left w:val="nil"/>
              <w:bottom w:val="single" w:color="auto" w:sz="4" w:space="0"/>
              <w:right w:val="single" w:color="auto" w:sz="4" w:space="0"/>
            </w:tcBorders>
            <w:shd w:val="clear" w:color="auto" w:fill="auto"/>
            <w:vAlign w:val="center"/>
          </w:tcPr>
          <w:p w14:paraId="57CF8092">
            <w:pPr>
              <w:widowControl/>
              <w:jc w:val="left"/>
              <w:rPr>
                <w:rFonts w:ascii="宋体" w:hAnsi="宋体" w:cs="宋体"/>
                <w:kern w:val="0"/>
                <w:sz w:val="18"/>
                <w:szCs w:val="18"/>
              </w:rPr>
            </w:pPr>
            <w:r>
              <w:rPr>
                <w:rFonts w:hint="eastAsia" w:ascii="宋体" w:hAnsi="宋体" w:cs="宋体"/>
                <w:kern w:val="0"/>
                <w:sz w:val="18"/>
                <w:szCs w:val="18"/>
              </w:rPr>
              <w:t>7.6万元</w:t>
            </w:r>
          </w:p>
        </w:tc>
        <w:tc>
          <w:tcPr>
            <w:tcW w:w="1540" w:type="dxa"/>
            <w:tcBorders>
              <w:top w:val="nil"/>
              <w:left w:val="nil"/>
              <w:bottom w:val="single" w:color="auto" w:sz="4" w:space="0"/>
              <w:right w:val="single" w:color="auto" w:sz="4" w:space="0"/>
            </w:tcBorders>
            <w:shd w:val="clear" w:color="auto" w:fill="auto"/>
            <w:vAlign w:val="center"/>
          </w:tcPr>
          <w:p w14:paraId="32A5AD98">
            <w:pPr>
              <w:widowControl/>
              <w:jc w:val="left"/>
              <w:rPr>
                <w:rFonts w:ascii="宋体" w:hAnsi="宋体" w:cs="宋体"/>
                <w:kern w:val="0"/>
                <w:sz w:val="18"/>
                <w:szCs w:val="18"/>
              </w:rPr>
            </w:pPr>
            <w:r>
              <w:rPr>
                <w:rFonts w:hint="eastAsia" w:ascii="宋体" w:hAnsi="宋体" w:cs="宋体"/>
                <w:kern w:val="0"/>
                <w:sz w:val="18"/>
                <w:szCs w:val="18"/>
              </w:rPr>
              <w:t>6.6万元</w:t>
            </w:r>
          </w:p>
        </w:tc>
        <w:tc>
          <w:tcPr>
            <w:tcW w:w="900" w:type="dxa"/>
            <w:tcBorders>
              <w:top w:val="nil"/>
              <w:left w:val="nil"/>
              <w:bottom w:val="single" w:color="auto" w:sz="4" w:space="0"/>
              <w:right w:val="single" w:color="auto" w:sz="4" w:space="0"/>
            </w:tcBorders>
            <w:shd w:val="clear" w:color="auto" w:fill="auto"/>
            <w:vAlign w:val="center"/>
          </w:tcPr>
          <w:p w14:paraId="2B020784">
            <w:pPr>
              <w:widowControl/>
              <w:jc w:val="center"/>
              <w:rPr>
                <w:rFonts w:ascii="宋体" w:hAnsi="宋体" w:cs="宋体"/>
                <w:kern w:val="0"/>
                <w:sz w:val="18"/>
                <w:szCs w:val="18"/>
              </w:rPr>
            </w:pPr>
            <w:r>
              <w:rPr>
                <w:rFonts w:hint="eastAsia" w:ascii="宋体" w:hAnsi="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14:paraId="6D191007">
            <w:pPr>
              <w:widowControl/>
              <w:jc w:val="left"/>
              <w:rPr>
                <w:rFonts w:ascii="宋体" w:hAnsi="宋体" w:cs="宋体"/>
                <w:kern w:val="0"/>
                <w:sz w:val="18"/>
                <w:szCs w:val="18"/>
              </w:rPr>
            </w:pPr>
            <w:r>
              <w:rPr>
                <w:rFonts w:hint="eastAsia" w:ascii="宋体" w:hAnsi="宋体" w:cs="宋体"/>
                <w:kern w:val="0"/>
                <w:sz w:val="18"/>
                <w:szCs w:val="18"/>
              </w:rPr>
              <w:t>　</w:t>
            </w:r>
          </w:p>
        </w:tc>
      </w:tr>
      <w:tr w14:paraId="5CF28B93">
        <w:tblPrEx>
          <w:tblCellMar>
            <w:top w:w="0" w:type="dxa"/>
            <w:left w:w="108" w:type="dxa"/>
            <w:bottom w:w="0" w:type="dxa"/>
            <w:right w:w="108" w:type="dxa"/>
          </w:tblCellMar>
        </w:tblPrEx>
        <w:trPr>
          <w:trHeight w:val="435" w:hRule="atLeast"/>
        </w:trPr>
        <w:tc>
          <w:tcPr>
            <w:tcW w:w="740" w:type="dxa"/>
            <w:vMerge w:val="continue"/>
            <w:tcBorders>
              <w:top w:val="nil"/>
              <w:left w:val="single" w:color="auto" w:sz="4" w:space="0"/>
              <w:bottom w:val="nil"/>
              <w:right w:val="single" w:color="auto" w:sz="4" w:space="0"/>
            </w:tcBorders>
            <w:vAlign w:val="center"/>
          </w:tcPr>
          <w:p w14:paraId="2DEFACA9">
            <w:pPr>
              <w:widowControl/>
              <w:jc w:val="left"/>
              <w:rPr>
                <w:rFonts w:ascii="宋体" w:hAnsi="宋体" w:cs="宋体"/>
                <w:kern w:val="0"/>
                <w:sz w:val="18"/>
                <w:szCs w:val="18"/>
              </w:rPr>
            </w:pPr>
          </w:p>
        </w:tc>
        <w:tc>
          <w:tcPr>
            <w:tcW w:w="740" w:type="dxa"/>
            <w:vMerge w:val="continue"/>
            <w:tcBorders>
              <w:top w:val="single" w:color="auto" w:sz="4" w:space="0"/>
              <w:left w:val="single" w:color="auto" w:sz="4" w:space="0"/>
              <w:bottom w:val="nil"/>
              <w:right w:val="single" w:color="auto" w:sz="4" w:space="0"/>
            </w:tcBorders>
            <w:vAlign w:val="center"/>
          </w:tcPr>
          <w:p w14:paraId="243DF39A">
            <w:pPr>
              <w:widowControl/>
              <w:jc w:val="left"/>
              <w:rPr>
                <w:rFonts w:ascii="宋体" w:hAnsi="宋体" w:cs="宋体"/>
                <w:kern w:val="0"/>
                <w:sz w:val="18"/>
                <w:szCs w:val="18"/>
              </w:rPr>
            </w:pPr>
          </w:p>
        </w:tc>
        <w:tc>
          <w:tcPr>
            <w:tcW w:w="640" w:type="dxa"/>
            <w:vMerge w:val="continue"/>
            <w:tcBorders>
              <w:top w:val="single" w:color="auto" w:sz="4" w:space="0"/>
              <w:left w:val="single" w:color="auto" w:sz="4" w:space="0"/>
              <w:bottom w:val="nil"/>
              <w:right w:val="single" w:color="auto" w:sz="4" w:space="0"/>
            </w:tcBorders>
            <w:vAlign w:val="center"/>
          </w:tcPr>
          <w:p w14:paraId="30403070">
            <w:pPr>
              <w:widowControl/>
              <w:jc w:val="left"/>
              <w:rPr>
                <w:rFonts w:ascii="宋体" w:hAnsi="宋体"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14:paraId="005E1D51">
            <w:pPr>
              <w:widowControl/>
              <w:jc w:val="left"/>
              <w:rPr>
                <w:rFonts w:ascii="宋体" w:hAnsi="宋体" w:cs="宋体"/>
                <w:kern w:val="0"/>
                <w:sz w:val="18"/>
                <w:szCs w:val="18"/>
              </w:rPr>
            </w:pPr>
            <w:r>
              <w:rPr>
                <w:rFonts w:hint="eastAsia" w:ascii="宋体" w:hAnsi="宋体" w:cs="宋体"/>
                <w:kern w:val="0"/>
                <w:sz w:val="18"/>
                <w:szCs w:val="18"/>
              </w:rPr>
              <w:t>无线电专业技术人员培训</w:t>
            </w:r>
          </w:p>
        </w:tc>
        <w:tc>
          <w:tcPr>
            <w:tcW w:w="1560" w:type="dxa"/>
            <w:tcBorders>
              <w:top w:val="nil"/>
              <w:left w:val="nil"/>
              <w:bottom w:val="single" w:color="auto" w:sz="4" w:space="0"/>
              <w:right w:val="single" w:color="auto" w:sz="4" w:space="0"/>
            </w:tcBorders>
            <w:shd w:val="clear" w:color="auto" w:fill="auto"/>
            <w:vAlign w:val="center"/>
          </w:tcPr>
          <w:p w14:paraId="7A80ED55">
            <w:pPr>
              <w:widowControl/>
              <w:jc w:val="left"/>
              <w:rPr>
                <w:rFonts w:ascii="宋体" w:hAnsi="宋体" w:cs="宋体"/>
                <w:kern w:val="0"/>
                <w:sz w:val="18"/>
                <w:szCs w:val="18"/>
              </w:rPr>
            </w:pPr>
            <w:r>
              <w:rPr>
                <w:rFonts w:hint="eastAsia" w:ascii="宋体" w:hAnsi="宋体" w:cs="宋体"/>
                <w:kern w:val="0"/>
                <w:sz w:val="18"/>
                <w:szCs w:val="18"/>
              </w:rPr>
              <w:t>1万元</w:t>
            </w:r>
          </w:p>
        </w:tc>
        <w:tc>
          <w:tcPr>
            <w:tcW w:w="1540" w:type="dxa"/>
            <w:tcBorders>
              <w:top w:val="nil"/>
              <w:left w:val="nil"/>
              <w:bottom w:val="single" w:color="auto" w:sz="4" w:space="0"/>
              <w:right w:val="single" w:color="auto" w:sz="4" w:space="0"/>
            </w:tcBorders>
            <w:shd w:val="clear" w:color="auto" w:fill="auto"/>
            <w:vAlign w:val="center"/>
          </w:tcPr>
          <w:p w14:paraId="20AE3383">
            <w:pPr>
              <w:widowControl/>
              <w:jc w:val="left"/>
              <w:rPr>
                <w:rFonts w:ascii="宋体" w:hAnsi="宋体" w:cs="宋体"/>
                <w:kern w:val="0"/>
                <w:sz w:val="18"/>
                <w:szCs w:val="18"/>
              </w:rPr>
            </w:pPr>
            <w:r>
              <w:rPr>
                <w:rFonts w:hint="eastAsia" w:ascii="宋体" w:hAnsi="宋体" w:cs="宋体"/>
                <w:kern w:val="0"/>
                <w:sz w:val="18"/>
                <w:szCs w:val="18"/>
              </w:rPr>
              <w:t>1万元</w:t>
            </w:r>
          </w:p>
        </w:tc>
        <w:tc>
          <w:tcPr>
            <w:tcW w:w="900" w:type="dxa"/>
            <w:tcBorders>
              <w:top w:val="nil"/>
              <w:left w:val="nil"/>
              <w:bottom w:val="single" w:color="auto" w:sz="4" w:space="0"/>
              <w:right w:val="single" w:color="auto" w:sz="4" w:space="0"/>
            </w:tcBorders>
            <w:shd w:val="clear" w:color="auto" w:fill="auto"/>
            <w:vAlign w:val="center"/>
          </w:tcPr>
          <w:p w14:paraId="2ED08A18">
            <w:pPr>
              <w:widowControl/>
              <w:jc w:val="center"/>
              <w:rPr>
                <w:rFonts w:ascii="宋体" w:hAnsi="宋体" w:cs="宋体"/>
                <w:kern w:val="0"/>
                <w:sz w:val="18"/>
                <w:szCs w:val="18"/>
              </w:rPr>
            </w:pPr>
            <w:r>
              <w:rPr>
                <w:rFonts w:hint="eastAsia" w:ascii="宋体" w:hAnsi="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14:paraId="7E5CE11A">
            <w:pPr>
              <w:widowControl/>
              <w:jc w:val="left"/>
              <w:rPr>
                <w:rFonts w:ascii="宋体" w:hAnsi="宋体" w:cs="宋体"/>
                <w:kern w:val="0"/>
                <w:sz w:val="18"/>
                <w:szCs w:val="18"/>
              </w:rPr>
            </w:pPr>
            <w:r>
              <w:rPr>
                <w:rFonts w:hint="eastAsia" w:ascii="宋体" w:hAnsi="宋体" w:cs="宋体"/>
                <w:kern w:val="0"/>
                <w:sz w:val="18"/>
                <w:szCs w:val="18"/>
              </w:rPr>
              <w:t>　</w:t>
            </w:r>
          </w:p>
        </w:tc>
      </w:tr>
      <w:tr w14:paraId="113BDE94">
        <w:tblPrEx>
          <w:tblCellMar>
            <w:top w:w="0" w:type="dxa"/>
            <w:left w:w="108" w:type="dxa"/>
            <w:bottom w:w="0" w:type="dxa"/>
            <w:right w:w="108" w:type="dxa"/>
          </w:tblCellMar>
        </w:tblPrEx>
        <w:trPr>
          <w:trHeight w:val="450" w:hRule="atLeast"/>
        </w:trPr>
        <w:tc>
          <w:tcPr>
            <w:tcW w:w="740" w:type="dxa"/>
            <w:vMerge w:val="continue"/>
            <w:tcBorders>
              <w:top w:val="nil"/>
              <w:left w:val="single" w:color="auto" w:sz="4" w:space="0"/>
              <w:bottom w:val="nil"/>
              <w:right w:val="single" w:color="auto" w:sz="4" w:space="0"/>
            </w:tcBorders>
            <w:vAlign w:val="center"/>
          </w:tcPr>
          <w:p w14:paraId="35B56EEB">
            <w:pPr>
              <w:widowControl/>
              <w:jc w:val="left"/>
              <w:rPr>
                <w:rFonts w:ascii="宋体" w:hAnsi="宋体" w:cs="宋体"/>
                <w:kern w:val="0"/>
                <w:sz w:val="18"/>
                <w:szCs w:val="18"/>
              </w:rPr>
            </w:pPr>
          </w:p>
        </w:tc>
        <w:tc>
          <w:tcPr>
            <w:tcW w:w="740" w:type="dxa"/>
            <w:vMerge w:val="restart"/>
            <w:tcBorders>
              <w:top w:val="single" w:color="auto" w:sz="4" w:space="0"/>
              <w:left w:val="single" w:color="auto" w:sz="4" w:space="0"/>
              <w:bottom w:val="nil"/>
              <w:right w:val="single" w:color="auto" w:sz="4" w:space="0"/>
            </w:tcBorders>
            <w:shd w:val="clear" w:color="auto" w:fill="auto"/>
            <w:vAlign w:val="center"/>
          </w:tcPr>
          <w:p w14:paraId="6AAB437B">
            <w:pPr>
              <w:widowControl/>
              <w:jc w:val="center"/>
              <w:rPr>
                <w:rFonts w:ascii="宋体" w:hAnsi="宋体" w:cs="宋体"/>
                <w:kern w:val="0"/>
                <w:sz w:val="18"/>
                <w:szCs w:val="18"/>
              </w:rPr>
            </w:pPr>
            <w:r>
              <w:rPr>
                <w:rFonts w:hint="eastAsia" w:ascii="宋体" w:hAnsi="宋体" w:cs="宋体"/>
                <w:kern w:val="0"/>
                <w:sz w:val="18"/>
                <w:szCs w:val="18"/>
              </w:rPr>
              <w:t>项目效益</w:t>
            </w:r>
          </w:p>
        </w:tc>
        <w:tc>
          <w:tcPr>
            <w:tcW w:w="640" w:type="dxa"/>
            <w:tcBorders>
              <w:top w:val="single" w:color="auto" w:sz="4" w:space="0"/>
              <w:left w:val="nil"/>
              <w:bottom w:val="nil"/>
              <w:right w:val="single" w:color="auto" w:sz="4" w:space="0"/>
            </w:tcBorders>
            <w:shd w:val="clear" w:color="auto" w:fill="auto"/>
            <w:vAlign w:val="center"/>
          </w:tcPr>
          <w:p w14:paraId="7A7EFCD9">
            <w:pPr>
              <w:widowControl/>
              <w:jc w:val="center"/>
              <w:rPr>
                <w:rFonts w:ascii="宋体" w:hAnsi="宋体" w:cs="宋体"/>
                <w:kern w:val="0"/>
                <w:sz w:val="18"/>
                <w:szCs w:val="18"/>
              </w:rPr>
            </w:pPr>
            <w:r>
              <w:rPr>
                <w:rFonts w:hint="eastAsia" w:ascii="宋体" w:hAnsi="宋体" w:cs="宋体"/>
                <w:kern w:val="0"/>
                <w:sz w:val="18"/>
                <w:szCs w:val="18"/>
              </w:rPr>
              <w:t>经济效益</w:t>
            </w:r>
            <w:r>
              <w:rPr>
                <w:rFonts w:hint="eastAsia" w:ascii="宋体" w:hAnsi="宋体" w:cs="宋体"/>
                <w:kern w:val="0"/>
                <w:sz w:val="18"/>
                <w:szCs w:val="18"/>
              </w:rPr>
              <w:br w:type="textWrapping"/>
            </w:r>
            <w:r>
              <w:rPr>
                <w:rFonts w:hint="eastAsia" w:ascii="宋体" w:hAnsi="宋体" w:cs="宋体"/>
                <w:kern w:val="0"/>
                <w:sz w:val="18"/>
                <w:szCs w:val="18"/>
              </w:rPr>
              <w:t>指标</w:t>
            </w:r>
          </w:p>
        </w:tc>
        <w:tc>
          <w:tcPr>
            <w:tcW w:w="1980" w:type="dxa"/>
            <w:tcBorders>
              <w:top w:val="nil"/>
              <w:left w:val="nil"/>
              <w:bottom w:val="single" w:color="auto" w:sz="4" w:space="0"/>
              <w:right w:val="single" w:color="auto" w:sz="4" w:space="0"/>
            </w:tcBorders>
            <w:shd w:val="clear" w:color="auto" w:fill="auto"/>
            <w:vAlign w:val="center"/>
          </w:tcPr>
          <w:p w14:paraId="1B5D6C5C">
            <w:pPr>
              <w:widowControl/>
              <w:jc w:val="left"/>
              <w:rPr>
                <w:rFonts w:ascii="宋体" w:hAnsi="宋体" w:cs="宋体"/>
                <w:kern w:val="0"/>
                <w:sz w:val="18"/>
                <w:szCs w:val="18"/>
              </w:rPr>
            </w:pPr>
            <w:r>
              <w:rPr>
                <w:rFonts w:hint="eastAsia" w:ascii="宋体" w:hAnsi="宋体" w:cs="宋体"/>
                <w:kern w:val="0"/>
                <w:sz w:val="18"/>
                <w:szCs w:val="18"/>
              </w:rPr>
              <w:t>维护经济发展</w:t>
            </w:r>
          </w:p>
        </w:tc>
        <w:tc>
          <w:tcPr>
            <w:tcW w:w="1560" w:type="dxa"/>
            <w:tcBorders>
              <w:top w:val="nil"/>
              <w:left w:val="nil"/>
              <w:bottom w:val="single" w:color="auto" w:sz="4" w:space="0"/>
              <w:right w:val="single" w:color="auto" w:sz="4" w:space="0"/>
            </w:tcBorders>
            <w:shd w:val="clear" w:color="auto" w:fill="auto"/>
            <w:vAlign w:val="center"/>
          </w:tcPr>
          <w:p w14:paraId="3D8F0671">
            <w:pPr>
              <w:widowControl/>
              <w:jc w:val="left"/>
              <w:rPr>
                <w:rFonts w:ascii="宋体" w:hAnsi="宋体" w:cs="宋体"/>
                <w:kern w:val="0"/>
                <w:sz w:val="18"/>
                <w:szCs w:val="18"/>
              </w:rPr>
            </w:pPr>
            <w:r>
              <w:rPr>
                <w:rFonts w:hint="eastAsia" w:ascii="宋体" w:hAnsi="宋体" w:cs="宋体"/>
                <w:kern w:val="0"/>
                <w:sz w:val="18"/>
                <w:szCs w:val="18"/>
              </w:rPr>
              <w:t>维护经济发展</w:t>
            </w:r>
          </w:p>
        </w:tc>
        <w:tc>
          <w:tcPr>
            <w:tcW w:w="1540" w:type="dxa"/>
            <w:tcBorders>
              <w:top w:val="nil"/>
              <w:left w:val="nil"/>
              <w:bottom w:val="single" w:color="auto" w:sz="4" w:space="0"/>
              <w:right w:val="single" w:color="auto" w:sz="4" w:space="0"/>
            </w:tcBorders>
            <w:shd w:val="clear" w:color="auto" w:fill="auto"/>
            <w:vAlign w:val="center"/>
          </w:tcPr>
          <w:p w14:paraId="04B27655">
            <w:pPr>
              <w:widowControl/>
              <w:jc w:val="left"/>
              <w:rPr>
                <w:rFonts w:ascii="宋体" w:hAnsi="宋体" w:cs="宋体"/>
                <w:kern w:val="0"/>
                <w:sz w:val="18"/>
                <w:szCs w:val="18"/>
              </w:rPr>
            </w:pPr>
            <w:r>
              <w:rPr>
                <w:rFonts w:hint="eastAsia" w:ascii="宋体" w:hAnsi="宋体" w:cs="宋体"/>
                <w:kern w:val="0"/>
                <w:sz w:val="18"/>
                <w:szCs w:val="18"/>
              </w:rPr>
              <w:t>维护经济发展</w:t>
            </w:r>
          </w:p>
        </w:tc>
        <w:tc>
          <w:tcPr>
            <w:tcW w:w="900" w:type="dxa"/>
            <w:tcBorders>
              <w:top w:val="nil"/>
              <w:left w:val="nil"/>
              <w:bottom w:val="single" w:color="auto" w:sz="4" w:space="0"/>
              <w:right w:val="single" w:color="auto" w:sz="4" w:space="0"/>
            </w:tcBorders>
            <w:shd w:val="clear" w:color="auto" w:fill="auto"/>
            <w:vAlign w:val="center"/>
          </w:tcPr>
          <w:p w14:paraId="4438AC26">
            <w:pPr>
              <w:widowControl/>
              <w:jc w:val="center"/>
              <w:rPr>
                <w:rFonts w:ascii="宋体" w:hAnsi="宋体" w:cs="宋体"/>
                <w:kern w:val="0"/>
                <w:sz w:val="18"/>
                <w:szCs w:val="18"/>
              </w:rPr>
            </w:pPr>
            <w:r>
              <w:rPr>
                <w:rFonts w:hint="eastAsia" w:ascii="宋体" w:hAnsi="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14:paraId="77BF36AC">
            <w:pPr>
              <w:widowControl/>
              <w:jc w:val="left"/>
              <w:rPr>
                <w:rFonts w:ascii="宋体" w:hAnsi="宋体" w:cs="宋体"/>
                <w:kern w:val="0"/>
                <w:sz w:val="18"/>
                <w:szCs w:val="18"/>
              </w:rPr>
            </w:pPr>
            <w:r>
              <w:rPr>
                <w:rFonts w:hint="eastAsia" w:ascii="宋体" w:hAnsi="宋体" w:cs="宋体"/>
                <w:kern w:val="0"/>
                <w:sz w:val="18"/>
                <w:szCs w:val="18"/>
              </w:rPr>
              <w:t>　</w:t>
            </w:r>
          </w:p>
        </w:tc>
      </w:tr>
      <w:tr w14:paraId="11C3F0B0">
        <w:tblPrEx>
          <w:tblCellMar>
            <w:top w:w="0" w:type="dxa"/>
            <w:left w:w="108" w:type="dxa"/>
            <w:bottom w:w="0" w:type="dxa"/>
            <w:right w:w="108" w:type="dxa"/>
          </w:tblCellMar>
        </w:tblPrEx>
        <w:trPr>
          <w:trHeight w:val="450" w:hRule="atLeast"/>
        </w:trPr>
        <w:tc>
          <w:tcPr>
            <w:tcW w:w="740" w:type="dxa"/>
            <w:vMerge w:val="continue"/>
            <w:tcBorders>
              <w:top w:val="nil"/>
              <w:left w:val="single" w:color="auto" w:sz="4" w:space="0"/>
              <w:bottom w:val="nil"/>
              <w:right w:val="single" w:color="auto" w:sz="4" w:space="0"/>
            </w:tcBorders>
            <w:vAlign w:val="center"/>
          </w:tcPr>
          <w:p w14:paraId="44286EE5">
            <w:pPr>
              <w:widowControl/>
              <w:jc w:val="left"/>
              <w:rPr>
                <w:rFonts w:ascii="宋体" w:hAnsi="宋体" w:cs="宋体"/>
                <w:kern w:val="0"/>
                <w:sz w:val="18"/>
                <w:szCs w:val="18"/>
              </w:rPr>
            </w:pPr>
          </w:p>
        </w:tc>
        <w:tc>
          <w:tcPr>
            <w:tcW w:w="740" w:type="dxa"/>
            <w:vMerge w:val="continue"/>
            <w:tcBorders>
              <w:top w:val="single" w:color="auto" w:sz="4" w:space="0"/>
              <w:left w:val="single" w:color="auto" w:sz="4" w:space="0"/>
              <w:bottom w:val="nil"/>
              <w:right w:val="single" w:color="auto" w:sz="4" w:space="0"/>
            </w:tcBorders>
            <w:vAlign w:val="center"/>
          </w:tcPr>
          <w:p w14:paraId="3DE1D905">
            <w:pPr>
              <w:widowControl/>
              <w:jc w:val="left"/>
              <w:rPr>
                <w:rFonts w:ascii="宋体" w:hAnsi="宋体" w:cs="宋体"/>
                <w:kern w:val="0"/>
                <w:sz w:val="18"/>
                <w:szCs w:val="18"/>
              </w:rPr>
            </w:pPr>
          </w:p>
        </w:tc>
        <w:tc>
          <w:tcPr>
            <w:tcW w:w="640" w:type="dxa"/>
            <w:tcBorders>
              <w:top w:val="single" w:color="auto" w:sz="4" w:space="0"/>
              <w:left w:val="nil"/>
              <w:bottom w:val="nil"/>
              <w:right w:val="single" w:color="auto" w:sz="4" w:space="0"/>
            </w:tcBorders>
            <w:shd w:val="clear" w:color="auto" w:fill="auto"/>
            <w:vAlign w:val="center"/>
          </w:tcPr>
          <w:p w14:paraId="7E37C230">
            <w:pPr>
              <w:widowControl/>
              <w:jc w:val="center"/>
              <w:rPr>
                <w:rFonts w:ascii="宋体" w:hAnsi="宋体" w:cs="宋体"/>
                <w:kern w:val="0"/>
                <w:sz w:val="18"/>
                <w:szCs w:val="18"/>
              </w:rPr>
            </w:pPr>
            <w:r>
              <w:rPr>
                <w:rFonts w:hint="eastAsia" w:ascii="宋体" w:hAnsi="宋体" w:cs="宋体"/>
                <w:kern w:val="0"/>
                <w:sz w:val="18"/>
                <w:szCs w:val="18"/>
              </w:rPr>
              <w:t>社会效益</w:t>
            </w:r>
            <w:r>
              <w:rPr>
                <w:rFonts w:hint="eastAsia" w:ascii="宋体" w:hAnsi="宋体" w:cs="宋体"/>
                <w:kern w:val="0"/>
                <w:sz w:val="18"/>
                <w:szCs w:val="18"/>
              </w:rPr>
              <w:br w:type="textWrapping"/>
            </w:r>
            <w:r>
              <w:rPr>
                <w:rFonts w:hint="eastAsia" w:ascii="宋体" w:hAnsi="宋体" w:cs="宋体"/>
                <w:kern w:val="0"/>
                <w:sz w:val="18"/>
                <w:szCs w:val="18"/>
              </w:rPr>
              <w:t>指标</w:t>
            </w:r>
          </w:p>
        </w:tc>
        <w:tc>
          <w:tcPr>
            <w:tcW w:w="1980" w:type="dxa"/>
            <w:tcBorders>
              <w:top w:val="nil"/>
              <w:left w:val="nil"/>
              <w:bottom w:val="single" w:color="auto" w:sz="4" w:space="0"/>
              <w:right w:val="single" w:color="auto" w:sz="4" w:space="0"/>
            </w:tcBorders>
            <w:shd w:val="clear" w:color="auto" w:fill="auto"/>
            <w:vAlign w:val="center"/>
          </w:tcPr>
          <w:p w14:paraId="1BDFB39B">
            <w:pPr>
              <w:widowControl/>
              <w:jc w:val="left"/>
              <w:rPr>
                <w:rFonts w:ascii="宋体" w:hAnsi="宋体" w:cs="宋体"/>
                <w:kern w:val="0"/>
                <w:sz w:val="18"/>
                <w:szCs w:val="18"/>
              </w:rPr>
            </w:pPr>
            <w:r>
              <w:rPr>
                <w:rFonts w:hint="eastAsia" w:ascii="宋体" w:hAnsi="宋体" w:cs="宋体"/>
                <w:kern w:val="0"/>
                <w:sz w:val="18"/>
                <w:szCs w:val="18"/>
              </w:rPr>
              <w:t>无线电监管和无线电安全运行保障</w:t>
            </w:r>
          </w:p>
        </w:tc>
        <w:tc>
          <w:tcPr>
            <w:tcW w:w="1560" w:type="dxa"/>
            <w:tcBorders>
              <w:top w:val="nil"/>
              <w:left w:val="nil"/>
              <w:bottom w:val="single" w:color="auto" w:sz="4" w:space="0"/>
              <w:right w:val="single" w:color="auto" w:sz="4" w:space="0"/>
            </w:tcBorders>
            <w:shd w:val="clear" w:color="auto" w:fill="auto"/>
            <w:vAlign w:val="center"/>
          </w:tcPr>
          <w:p w14:paraId="63721CD0">
            <w:pPr>
              <w:widowControl/>
              <w:jc w:val="left"/>
              <w:rPr>
                <w:rFonts w:ascii="宋体" w:hAnsi="宋体" w:cs="宋体"/>
                <w:kern w:val="0"/>
                <w:sz w:val="18"/>
                <w:szCs w:val="18"/>
              </w:rPr>
            </w:pPr>
            <w:r>
              <w:rPr>
                <w:rFonts w:hint="eastAsia" w:ascii="宋体" w:hAnsi="宋体" w:cs="宋体"/>
                <w:kern w:val="0"/>
                <w:sz w:val="18"/>
                <w:szCs w:val="18"/>
              </w:rPr>
              <w:t>确保无线电安全，打造平安攀枝花</w:t>
            </w:r>
          </w:p>
        </w:tc>
        <w:tc>
          <w:tcPr>
            <w:tcW w:w="1540" w:type="dxa"/>
            <w:tcBorders>
              <w:top w:val="nil"/>
              <w:left w:val="nil"/>
              <w:bottom w:val="single" w:color="auto" w:sz="4" w:space="0"/>
              <w:right w:val="single" w:color="auto" w:sz="4" w:space="0"/>
            </w:tcBorders>
            <w:shd w:val="clear" w:color="auto" w:fill="auto"/>
            <w:vAlign w:val="center"/>
          </w:tcPr>
          <w:p w14:paraId="701D78C1">
            <w:pPr>
              <w:widowControl/>
              <w:jc w:val="left"/>
              <w:rPr>
                <w:rFonts w:ascii="宋体" w:hAnsi="宋体" w:cs="宋体"/>
                <w:kern w:val="0"/>
                <w:sz w:val="18"/>
                <w:szCs w:val="18"/>
              </w:rPr>
            </w:pPr>
            <w:r>
              <w:rPr>
                <w:rFonts w:hint="eastAsia" w:ascii="宋体" w:hAnsi="宋体" w:cs="宋体"/>
                <w:kern w:val="0"/>
                <w:sz w:val="18"/>
                <w:szCs w:val="18"/>
              </w:rPr>
              <w:t>确保无线电安全，打造平安攀枝花</w:t>
            </w:r>
          </w:p>
        </w:tc>
        <w:tc>
          <w:tcPr>
            <w:tcW w:w="900" w:type="dxa"/>
            <w:tcBorders>
              <w:top w:val="nil"/>
              <w:left w:val="nil"/>
              <w:bottom w:val="single" w:color="auto" w:sz="4" w:space="0"/>
              <w:right w:val="single" w:color="auto" w:sz="4" w:space="0"/>
            </w:tcBorders>
            <w:shd w:val="clear" w:color="auto" w:fill="auto"/>
            <w:vAlign w:val="center"/>
          </w:tcPr>
          <w:p w14:paraId="069F6CCA">
            <w:pPr>
              <w:widowControl/>
              <w:jc w:val="center"/>
              <w:rPr>
                <w:rFonts w:ascii="宋体" w:hAnsi="宋体" w:cs="宋体"/>
                <w:kern w:val="0"/>
                <w:sz w:val="18"/>
                <w:szCs w:val="18"/>
              </w:rPr>
            </w:pPr>
            <w:r>
              <w:rPr>
                <w:rFonts w:hint="eastAsia" w:ascii="宋体" w:hAnsi="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14:paraId="2DD1C385">
            <w:pPr>
              <w:widowControl/>
              <w:jc w:val="left"/>
              <w:rPr>
                <w:rFonts w:ascii="宋体" w:hAnsi="宋体" w:cs="宋体"/>
                <w:kern w:val="0"/>
                <w:sz w:val="18"/>
                <w:szCs w:val="18"/>
              </w:rPr>
            </w:pPr>
            <w:r>
              <w:rPr>
                <w:rFonts w:hint="eastAsia" w:ascii="宋体" w:hAnsi="宋体" w:cs="宋体"/>
                <w:kern w:val="0"/>
                <w:sz w:val="18"/>
                <w:szCs w:val="18"/>
              </w:rPr>
              <w:t>　</w:t>
            </w:r>
          </w:p>
        </w:tc>
      </w:tr>
      <w:tr w14:paraId="75E939C6">
        <w:tblPrEx>
          <w:tblCellMar>
            <w:top w:w="0" w:type="dxa"/>
            <w:left w:w="108" w:type="dxa"/>
            <w:bottom w:w="0" w:type="dxa"/>
            <w:right w:w="108" w:type="dxa"/>
          </w:tblCellMar>
        </w:tblPrEx>
        <w:trPr>
          <w:trHeight w:val="450" w:hRule="atLeast"/>
        </w:trPr>
        <w:tc>
          <w:tcPr>
            <w:tcW w:w="740" w:type="dxa"/>
            <w:vMerge w:val="continue"/>
            <w:tcBorders>
              <w:top w:val="nil"/>
              <w:left w:val="single" w:color="auto" w:sz="4" w:space="0"/>
              <w:bottom w:val="nil"/>
              <w:right w:val="single" w:color="auto" w:sz="4" w:space="0"/>
            </w:tcBorders>
            <w:vAlign w:val="center"/>
          </w:tcPr>
          <w:p w14:paraId="3CA2BA8D">
            <w:pPr>
              <w:widowControl/>
              <w:jc w:val="left"/>
              <w:rPr>
                <w:rFonts w:ascii="宋体" w:hAnsi="宋体" w:cs="宋体"/>
                <w:kern w:val="0"/>
                <w:sz w:val="18"/>
                <w:szCs w:val="18"/>
              </w:rPr>
            </w:pPr>
          </w:p>
        </w:tc>
        <w:tc>
          <w:tcPr>
            <w:tcW w:w="740" w:type="dxa"/>
            <w:vMerge w:val="continue"/>
            <w:tcBorders>
              <w:top w:val="single" w:color="auto" w:sz="4" w:space="0"/>
              <w:left w:val="single" w:color="auto" w:sz="4" w:space="0"/>
              <w:bottom w:val="nil"/>
              <w:right w:val="single" w:color="auto" w:sz="4" w:space="0"/>
            </w:tcBorders>
            <w:vAlign w:val="center"/>
          </w:tcPr>
          <w:p w14:paraId="4C91B866">
            <w:pPr>
              <w:widowControl/>
              <w:jc w:val="left"/>
              <w:rPr>
                <w:rFonts w:ascii="宋体" w:hAnsi="宋体" w:cs="宋体"/>
                <w:kern w:val="0"/>
                <w:sz w:val="18"/>
                <w:szCs w:val="18"/>
              </w:rPr>
            </w:pPr>
          </w:p>
        </w:tc>
        <w:tc>
          <w:tcPr>
            <w:tcW w:w="640" w:type="dxa"/>
            <w:tcBorders>
              <w:top w:val="single" w:color="auto" w:sz="4" w:space="0"/>
              <w:left w:val="nil"/>
              <w:bottom w:val="nil"/>
              <w:right w:val="single" w:color="auto" w:sz="4" w:space="0"/>
            </w:tcBorders>
            <w:shd w:val="clear" w:color="auto" w:fill="auto"/>
            <w:vAlign w:val="center"/>
          </w:tcPr>
          <w:p w14:paraId="11DFC649">
            <w:pPr>
              <w:widowControl/>
              <w:jc w:val="center"/>
              <w:rPr>
                <w:rFonts w:ascii="宋体" w:hAnsi="宋体" w:cs="宋体"/>
                <w:kern w:val="0"/>
                <w:sz w:val="18"/>
                <w:szCs w:val="18"/>
              </w:rPr>
            </w:pPr>
            <w:r>
              <w:rPr>
                <w:rFonts w:hint="eastAsia" w:ascii="宋体" w:hAnsi="宋体" w:cs="宋体"/>
                <w:kern w:val="0"/>
                <w:sz w:val="18"/>
                <w:szCs w:val="18"/>
              </w:rPr>
              <w:t>生态效益</w:t>
            </w:r>
            <w:r>
              <w:rPr>
                <w:rFonts w:hint="eastAsia" w:ascii="宋体" w:hAnsi="宋体" w:cs="宋体"/>
                <w:kern w:val="0"/>
                <w:sz w:val="18"/>
                <w:szCs w:val="18"/>
              </w:rPr>
              <w:br w:type="textWrapping"/>
            </w:r>
            <w:r>
              <w:rPr>
                <w:rFonts w:hint="eastAsia" w:ascii="宋体" w:hAnsi="宋体" w:cs="宋体"/>
                <w:kern w:val="0"/>
                <w:sz w:val="18"/>
                <w:szCs w:val="18"/>
              </w:rPr>
              <w:t>指标</w:t>
            </w:r>
          </w:p>
        </w:tc>
        <w:tc>
          <w:tcPr>
            <w:tcW w:w="1980" w:type="dxa"/>
            <w:tcBorders>
              <w:top w:val="nil"/>
              <w:left w:val="nil"/>
              <w:bottom w:val="single" w:color="auto" w:sz="4" w:space="0"/>
              <w:right w:val="single" w:color="auto" w:sz="4" w:space="0"/>
            </w:tcBorders>
            <w:shd w:val="clear" w:color="auto" w:fill="auto"/>
            <w:vAlign w:val="center"/>
          </w:tcPr>
          <w:p w14:paraId="0ECD30E6">
            <w:pPr>
              <w:widowControl/>
              <w:jc w:val="left"/>
              <w:rPr>
                <w:rFonts w:ascii="宋体" w:hAnsi="宋体" w:cs="宋体"/>
                <w:kern w:val="0"/>
                <w:sz w:val="18"/>
                <w:szCs w:val="18"/>
              </w:rPr>
            </w:pPr>
            <w:r>
              <w:rPr>
                <w:rFonts w:hint="eastAsia" w:ascii="宋体" w:hAnsi="宋体" w:cs="宋体"/>
                <w:kern w:val="0"/>
                <w:sz w:val="18"/>
                <w:szCs w:val="18"/>
              </w:rPr>
              <w:t>生态效益明显提升</w:t>
            </w:r>
          </w:p>
        </w:tc>
        <w:tc>
          <w:tcPr>
            <w:tcW w:w="1560" w:type="dxa"/>
            <w:tcBorders>
              <w:top w:val="nil"/>
              <w:left w:val="nil"/>
              <w:bottom w:val="single" w:color="auto" w:sz="4" w:space="0"/>
              <w:right w:val="single" w:color="auto" w:sz="4" w:space="0"/>
            </w:tcBorders>
            <w:shd w:val="clear" w:color="auto" w:fill="auto"/>
            <w:vAlign w:val="center"/>
          </w:tcPr>
          <w:p w14:paraId="5FA3E098">
            <w:pPr>
              <w:widowControl/>
              <w:jc w:val="left"/>
              <w:rPr>
                <w:rFonts w:ascii="宋体" w:hAnsi="宋体" w:cs="宋体"/>
                <w:kern w:val="0"/>
                <w:sz w:val="18"/>
                <w:szCs w:val="18"/>
              </w:rPr>
            </w:pPr>
            <w:r>
              <w:rPr>
                <w:rFonts w:hint="eastAsia" w:ascii="宋体" w:hAnsi="宋体" w:cs="宋体"/>
                <w:kern w:val="0"/>
                <w:sz w:val="18"/>
                <w:szCs w:val="18"/>
              </w:rPr>
              <w:t>对生态健康发展有促进作用</w:t>
            </w:r>
          </w:p>
        </w:tc>
        <w:tc>
          <w:tcPr>
            <w:tcW w:w="1540" w:type="dxa"/>
            <w:tcBorders>
              <w:top w:val="nil"/>
              <w:left w:val="nil"/>
              <w:bottom w:val="single" w:color="auto" w:sz="4" w:space="0"/>
              <w:right w:val="single" w:color="auto" w:sz="4" w:space="0"/>
            </w:tcBorders>
            <w:shd w:val="clear" w:color="auto" w:fill="auto"/>
            <w:vAlign w:val="center"/>
          </w:tcPr>
          <w:p w14:paraId="1B457630">
            <w:pPr>
              <w:widowControl/>
              <w:jc w:val="left"/>
              <w:rPr>
                <w:rFonts w:ascii="宋体" w:hAnsi="宋体" w:cs="宋体"/>
                <w:kern w:val="0"/>
                <w:sz w:val="18"/>
                <w:szCs w:val="18"/>
              </w:rPr>
            </w:pPr>
            <w:r>
              <w:rPr>
                <w:rFonts w:hint="eastAsia" w:ascii="宋体" w:hAnsi="宋体" w:cs="宋体"/>
                <w:kern w:val="0"/>
                <w:sz w:val="18"/>
                <w:szCs w:val="18"/>
              </w:rPr>
              <w:t>对生态健康发展有促进作用</w:t>
            </w:r>
          </w:p>
        </w:tc>
        <w:tc>
          <w:tcPr>
            <w:tcW w:w="900" w:type="dxa"/>
            <w:tcBorders>
              <w:top w:val="nil"/>
              <w:left w:val="nil"/>
              <w:bottom w:val="single" w:color="auto" w:sz="4" w:space="0"/>
              <w:right w:val="single" w:color="auto" w:sz="4" w:space="0"/>
            </w:tcBorders>
            <w:shd w:val="clear" w:color="auto" w:fill="auto"/>
            <w:vAlign w:val="center"/>
          </w:tcPr>
          <w:p w14:paraId="134FFEB5">
            <w:pPr>
              <w:widowControl/>
              <w:jc w:val="center"/>
              <w:rPr>
                <w:rFonts w:ascii="宋体" w:hAnsi="宋体" w:cs="宋体"/>
                <w:kern w:val="0"/>
                <w:sz w:val="18"/>
                <w:szCs w:val="18"/>
              </w:rPr>
            </w:pPr>
            <w:r>
              <w:rPr>
                <w:rFonts w:hint="eastAsia" w:ascii="宋体" w:hAnsi="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14:paraId="0EA8B1D4">
            <w:pPr>
              <w:widowControl/>
              <w:jc w:val="left"/>
              <w:rPr>
                <w:rFonts w:ascii="宋体" w:hAnsi="宋体" w:cs="宋体"/>
                <w:kern w:val="0"/>
                <w:sz w:val="18"/>
                <w:szCs w:val="18"/>
              </w:rPr>
            </w:pPr>
            <w:r>
              <w:rPr>
                <w:rFonts w:hint="eastAsia" w:ascii="宋体" w:hAnsi="宋体" w:cs="宋体"/>
                <w:kern w:val="0"/>
                <w:sz w:val="18"/>
                <w:szCs w:val="18"/>
              </w:rPr>
              <w:t>　</w:t>
            </w:r>
          </w:p>
        </w:tc>
      </w:tr>
      <w:tr w14:paraId="6525C829">
        <w:tblPrEx>
          <w:tblCellMar>
            <w:top w:w="0" w:type="dxa"/>
            <w:left w:w="108" w:type="dxa"/>
            <w:bottom w:w="0" w:type="dxa"/>
            <w:right w:w="108" w:type="dxa"/>
          </w:tblCellMar>
        </w:tblPrEx>
        <w:trPr>
          <w:trHeight w:val="450" w:hRule="atLeast"/>
        </w:trPr>
        <w:tc>
          <w:tcPr>
            <w:tcW w:w="740" w:type="dxa"/>
            <w:vMerge w:val="continue"/>
            <w:tcBorders>
              <w:top w:val="nil"/>
              <w:left w:val="single" w:color="auto" w:sz="4" w:space="0"/>
              <w:bottom w:val="nil"/>
              <w:right w:val="single" w:color="auto" w:sz="4" w:space="0"/>
            </w:tcBorders>
            <w:vAlign w:val="center"/>
          </w:tcPr>
          <w:p w14:paraId="34D42D06">
            <w:pPr>
              <w:widowControl/>
              <w:jc w:val="left"/>
              <w:rPr>
                <w:rFonts w:ascii="宋体" w:hAnsi="宋体" w:cs="宋体"/>
                <w:kern w:val="0"/>
                <w:sz w:val="18"/>
                <w:szCs w:val="18"/>
              </w:rPr>
            </w:pPr>
          </w:p>
        </w:tc>
        <w:tc>
          <w:tcPr>
            <w:tcW w:w="740" w:type="dxa"/>
            <w:vMerge w:val="continue"/>
            <w:tcBorders>
              <w:top w:val="single" w:color="auto" w:sz="4" w:space="0"/>
              <w:left w:val="single" w:color="auto" w:sz="4" w:space="0"/>
              <w:bottom w:val="nil"/>
              <w:right w:val="single" w:color="auto" w:sz="4" w:space="0"/>
            </w:tcBorders>
            <w:vAlign w:val="center"/>
          </w:tcPr>
          <w:p w14:paraId="2D5B5288">
            <w:pPr>
              <w:widowControl/>
              <w:jc w:val="left"/>
              <w:rPr>
                <w:rFonts w:ascii="宋体" w:hAnsi="宋体" w:cs="宋体"/>
                <w:kern w:val="0"/>
                <w:sz w:val="18"/>
                <w:szCs w:val="18"/>
              </w:rPr>
            </w:pPr>
          </w:p>
        </w:tc>
        <w:tc>
          <w:tcPr>
            <w:tcW w:w="640" w:type="dxa"/>
            <w:tcBorders>
              <w:top w:val="single" w:color="auto" w:sz="4" w:space="0"/>
              <w:left w:val="nil"/>
              <w:bottom w:val="nil"/>
              <w:right w:val="single" w:color="auto" w:sz="4" w:space="0"/>
            </w:tcBorders>
            <w:shd w:val="clear" w:color="auto" w:fill="auto"/>
            <w:vAlign w:val="center"/>
          </w:tcPr>
          <w:p w14:paraId="20BF9C06">
            <w:pPr>
              <w:widowControl/>
              <w:jc w:val="center"/>
              <w:rPr>
                <w:rFonts w:ascii="宋体" w:hAnsi="宋体" w:cs="宋体"/>
                <w:kern w:val="0"/>
                <w:sz w:val="18"/>
                <w:szCs w:val="18"/>
              </w:rPr>
            </w:pPr>
            <w:r>
              <w:rPr>
                <w:rFonts w:hint="eastAsia" w:ascii="宋体" w:hAnsi="宋体" w:cs="宋体"/>
                <w:kern w:val="0"/>
                <w:sz w:val="18"/>
                <w:szCs w:val="18"/>
              </w:rPr>
              <w:t>可持续影响</w:t>
            </w:r>
            <w:r>
              <w:rPr>
                <w:rFonts w:hint="eastAsia" w:ascii="宋体" w:hAnsi="宋体" w:cs="宋体"/>
                <w:kern w:val="0"/>
                <w:sz w:val="18"/>
                <w:szCs w:val="18"/>
              </w:rPr>
              <w:br w:type="textWrapping"/>
            </w:r>
            <w:r>
              <w:rPr>
                <w:rFonts w:hint="eastAsia" w:ascii="宋体" w:hAnsi="宋体" w:cs="宋体"/>
                <w:kern w:val="0"/>
                <w:sz w:val="18"/>
                <w:szCs w:val="18"/>
              </w:rPr>
              <w:t>指标</w:t>
            </w:r>
          </w:p>
        </w:tc>
        <w:tc>
          <w:tcPr>
            <w:tcW w:w="1980" w:type="dxa"/>
            <w:tcBorders>
              <w:top w:val="nil"/>
              <w:left w:val="nil"/>
              <w:bottom w:val="single" w:color="auto" w:sz="4" w:space="0"/>
              <w:right w:val="single" w:color="auto" w:sz="4" w:space="0"/>
            </w:tcBorders>
            <w:shd w:val="clear" w:color="auto" w:fill="auto"/>
            <w:vAlign w:val="center"/>
          </w:tcPr>
          <w:p w14:paraId="5F919D4A">
            <w:pPr>
              <w:widowControl/>
              <w:jc w:val="left"/>
              <w:rPr>
                <w:rFonts w:ascii="宋体" w:hAnsi="宋体" w:cs="宋体"/>
                <w:kern w:val="0"/>
                <w:sz w:val="18"/>
                <w:szCs w:val="18"/>
              </w:rPr>
            </w:pPr>
            <w:r>
              <w:rPr>
                <w:rFonts w:hint="eastAsia" w:ascii="宋体" w:hAnsi="宋体" w:cs="宋体"/>
                <w:kern w:val="0"/>
                <w:sz w:val="18"/>
                <w:szCs w:val="18"/>
              </w:rPr>
              <w:t>长期性</w:t>
            </w:r>
          </w:p>
        </w:tc>
        <w:tc>
          <w:tcPr>
            <w:tcW w:w="1560" w:type="dxa"/>
            <w:tcBorders>
              <w:top w:val="nil"/>
              <w:left w:val="nil"/>
              <w:bottom w:val="single" w:color="auto" w:sz="4" w:space="0"/>
              <w:right w:val="single" w:color="auto" w:sz="4" w:space="0"/>
            </w:tcBorders>
            <w:shd w:val="clear" w:color="auto" w:fill="auto"/>
            <w:vAlign w:val="center"/>
          </w:tcPr>
          <w:p w14:paraId="683567B9">
            <w:pPr>
              <w:widowControl/>
              <w:jc w:val="left"/>
              <w:rPr>
                <w:rFonts w:ascii="宋体" w:hAnsi="宋体" w:cs="宋体"/>
                <w:kern w:val="0"/>
                <w:sz w:val="18"/>
                <w:szCs w:val="18"/>
              </w:rPr>
            </w:pPr>
            <w:r>
              <w:rPr>
                <w:rFonts w:hint="eastAsia" w:ascii="宋体" w:hAnsi="宋体" w:cs="宋体"/>
                <w:kern w:val="0"/>
                <w:sz w:val="18"/>
                <w:szCs w:val="18"/>
              </w:rPr>
              <w:t>保障信息安全，具有可持续性</w:t>
            </w:r>
          </w:p>
        </w:tc>
        <w:tc>
          <w:tcPr>
            <w:tcW w:w="1540" w:type="dxa"/>
            <w:tcBorders>
              <w:top w:val="nil"/>
              <w:left w:val="nil"/>
              <w:bottom w:val="single" w:color="auto" w:sz="4" w:space="0"/>
              <w:right w:val="single" w:color="auto" w:sz="4" w:space="0"/>
            </w:tcBorders>
            <w:shd w:val="clear" w:color="auto" w:fill="auto"/>
            <w:vAlign w:val="center"/>
          </w:tcPr>
          <w:p w14:paraId="21265C0D">
            <w:pPr>
              <w:widowControl/>
              <w:jc w:val="left"/>
              <w:rPr>
                <w:rFonts w:ascii="宋体" w:hAnsi="宋体" w:cs="宋体"/>
                <w:kern w:val="0"/>
                <w:sz w:val="18"/>
                <w:szCs w:val="18"/>
              </w:rPr>
            </w:pPr>
            <w:r>
              <w:rPr>
                <w:rFonts w:hint="eastAsia" w:ascii="宋体" w:hAnsi="宋体" w:cs="宋体"/>
                <w:kern w:val="0"/>
                <w:sz w:val="18"/>
                <w:szCs w:val="18"/>
              </w:rPr>
              <w:t>保障信息安全，具有可持续性</w:t>
            </w:r>
          </w:p>
        </w:tc>
        <w:tc>
          <w:tcPr>
            <w:tcW w:w="900" w:type="dxa"/>
            <w:tcBorders>
              <w:top w:val="nil"/>
              <w:left w:val="nil"/>
              <w:bottom w:val="single" w:color="auto" w:sz="4" w:space="0"/>
              <w:right w:val="single" w:color="auto" w:sz="4" w:space="0"/>
            </w:tcBorders>
            <w:shd w:val="clear" w:color="auto" w:fill="auto"/>
            <w:vAlign w:val="center"/>
          </w:tcPr>
          <w:p w14:paraId="21416832">
            <w:pPr>
              <w:widowControl/>
              <w:jc w:val="center"/>
              <w:rPr>
                <w:rFonts w:ascii="宋体" w:hAnsi="宋体" w:cs="宋体"/>
                <w:kern w:val="0"/>
                <w:sz w:val="18"/>
                <w:szCs w:val="18"/>
              </w:rPr>
            </w:pPr>
            <w:r>
              <w:rPr>
                <w:rFonts w:hint="eastAsia" w:ascii="宋体" w:hAnsi="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14:paraId="4C3A7EB7">
            <w:pPr>
              <w:widowControl/>
              <w:jc w:val="left"/>
              <w:rPr>
                <w:rFonts w:ascii="宋体" w:hAnsi="宋体" w:cs="宋体"/>
                <w:kern w:val="0"/>
                <w:sz w:val="18"/>
                <w:szCs w:val="18"/>
              </w:rPr>
            </w:pPr>
            <w:r>
              <w:rPr>
                <w:rFonts w:hint="eastAsia" w:ascii="宋体" w:hAnsi="宋体" w:cs="宋体"/>
                <w:kern w:val="0"/>
                <w:sz w:val="18"/>
                <w:szCs w:val="18"/>
              </w:rPr>
              <w:t>　</w:t>
            </w:r>
          </w:p>
        </w:tc>
      </w:tr>
      <w:tr w14:paraId="498E5C7B">
        <w:tblPrEx>
          <w:tblCellMar>
            <w:top w:w="0" w:type="dxa"/>
            <w:left w:w="108" w:type="dxa"/>
            <w:bottom w:w="0" w:type="dxa"/>
            <w:right w:w="108" w:type="dxa"/>
          </w:tblCellMar>
        </w:tblPrEx>
        <w:trPr>
          <w:trHeight w:val="975" w:hRule="atLeast"/>
        </w:trPr>
        <w:tc>
          <w:tcPr>
            <w:tcW w:w="740" w:type="dxa"/>
            <w:vMerge w:val="continue"/>
            <w:tcBorders>
              <w:top w:val="nil"/>
              <w:left w:val="single" w:color="auto" w:sz="4" w:space="0"/>
              <w:bottom w:val="nil"/>
              <w:right w:val="single" w:color="auto" w:sz="4" w:space="0"/>
            </w:tcBorders>
            <w:vAlign w:val="center"/>
          </w:tcPr>
          <w:p w14:paraId="24F58000">
            <w:pPr>
              <w:widowControl/>
              <w:jc w:val="left"/>
              <w:rPr>
                <w:rFonts w:ascii="宋体" w:hAnsi="宋体" w:cs="宋体"/>
                <w:kern w:val="0"/>
                <w:sz w:val="18"/>
                <w:szCs w:val="18"/>
              </w:rPr>
            </w:pPr>
          </w:p>
        </w:tc>
        <w:tc>
          <w:tcPr>
            <w:tcW w:w="740" w:type="dxa"/>
            <w:tcBorders>
              <w:top w:val="single" w:color="auto" w:sz="4" w:space="0"/>
              <w:left w:val="nil"/>
              <w:bottom w:val="single" w:color="auto" w:sz="4" w:space="0"/>
              <w:right w:val="single" w:color="auto" w:sz="4" w:space="0"/>
            </w:tcBorders>
            <w:shd w:val="clear" w:color="auto" w:fill="auto"/>
            <w:vAlign w:val="center"/>
          </w:tcPr>
          <w:p w14:paraId="4B1113D4">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40" w:type="dxa"/>
            <w:tcBorders>
              <w:top w:val="single" w:color="auto" w:sz="4" w:space="0"/>
              <w:left w:val="nil"/>
              <w:bottom w:val="single" w:color="auto" w:sz="4" w:space="0"/>
              <w:right w:val="single" w:color="auto" w:sz="4" w:space="0"/>
            </w:tcBorders>
            <w:shd w:val="clear" w:color="auto" w:fill="auto"/>
            <w:vAlign w:val="center"/>
          </w:tcPr>
          <w:p w14:paraId="1A5B0FDE">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980" w:type="dxa"/>
            <w:tcBorders>
              <w:top w:val="nil"/>
              <w:left w:val="nil"/>
              <w:bottom w:val="single" w:color="auto" w:sz="4" w:space="0"/>
              <w:right w:val="single" w:color="auto" w:sz="4" w:space="0"/>
            </w:tcBorders>
            <w:shd w:val="clear" w:color="auto" w:fill="auto"/>
            <w:vAlign w:val="center"/>
          </w:tcPr>
          <w:p w14:paraId="08A01E38">
            <w:pPr>
              <w:widowControl/>
              <w:jc w:val="left"/>
              <w:rPr>
                <w:rFonts w:ascii="宋体" w:hAnsi="宋体" w:cs="宋体"/>
                <w:kern w:val="0"/>
                <w:sz w:val="18"/>
                <w:szCs w:val="18"/>
              </w:rPr>
            </w:pPr>
            <w:r>
              <w:rPr>
                <w:rFonts w:hint="eastAsia" w:ascii="宋体" w:hAnsi="宋体" w:cs="宋体"/>
                <w:kern w:val="0"/>
                <w:sz w:val="18"/>
                <w:szCs w:val="18"/>
              </w:rPr>
              <w:t>社会大众满意</w:t>
            </w:r>
          </w:p>
        </w:tc>
        <w:tc>
          <w:tcPr>
            <w:tcW w:w="1560" w:type="dxa"/>
            <w:tcBorders>
              <w:top w:val="nil"/>
              <w:left w:val="nil"/>
              <w:bottom w:val="single" w:color="auto" w:sz="4" w:space="0"/>
              <w:right w:val="single" w:color="auto" w:sz="4" w:space="0"/>
            </w:tcBorders>
            <w:shd w:val="clear" w:color="auto" w:fill="auto"/>
            <w:vAlign w:val="center"/>
          </w:tcPr>
          <w:p w14:paraId="569886AE">
            <w:pPr>
              <w:widowControl/>
              <w:jc w:val="center"/>
              <w:rPr>
                <w:rFonts w:ascii="仿宋" w:hAnsi="仿宋" w:eastAsia="仿宋" w:cs="宋体"/>
                <w:kern w:val="0"/>
                <w:sz w:val="18"/>
                <w:szCs w:val="18"/>
              </w:rPr>
            </w:pPr>
            <w:r>
              <w:rPr>
                <w:rFonts w:hint="eastAsia" w:ascii="仿宋" w:hAnsi="仿宋" w:eastAsia="仿宋" w:cs="宋体"/>
                <w:kern w:val="0"/>
                <w:sz w:val="18"/>
                <w:szCs w:val="18"/>
              </w:rPr>
              <w:t>80%（含）-100%</w:t>
            </w:r>
          </w:p>
        </w:tc>
        <w:tc>
          <w:tcPr>
            <w:tcW w:w="1540" w:type="dxa"/>
            <w:tcBorders>
              <w:top w:val="nil"/>
              <w:left w:val="nil"/>
              <w:bottom w:val="single" w:color="auto" w:sz="4" w:space="0"/>
              <w:right w:val="single" w:color="auto" w:sz="4" w:space="0"/>
            </w:tcBorders>
            <w:shd w:val="clear" w:color="auto" w:fill="auto"/>
            <w:vAlign w:val="center"/>
          </w:tcPr>
          <w:p w14:paraId="35AE8B1B">
            <w:pPr>
              <w:widowControl/>
              <w:jc w:val="center"/>
              <w:rPr>
                <w:rFonts w:ascii="仿宋" w:hAnsi="仿宋" w:eastAsia="仿宋" w:cs="宋体"/>
                <w:kern w:val="0"/>
                <w:sz w:val="18"/>
                <w:szCs w:val="18"/>
              </w:rPr>
            </w:pPr>
            <w:r>
              <w:rPr>
                <w:rFonts w:hint="eastAsia" w:ascii="仿宋" w:hAnsi="仿宋" w:eastAsia="仿宋" w:cs="宋体"/>
                <w:kern w:val="0"/>
                <w:sz w:val="18"/>
                <w:szCs w:val="18"/>
              </w:rPr>
              <w:t>80%（含）-100%</w:t>
            </w:r>
          </w:p>
        </w:tc>
        <w:tc>
          <w:tcPr>
            <w:tcW w:w="900" w:type="dxa"/>
            <w:tcBorders>
              <w:top w:val="nil"/>
              <w:left w:val="nil"/>
              <w:bottom w:val="single" w:color="auto" w:sz="4" w:space="0"/>
              <w:right w:val="single" w:color="auto" w:sz="4" w:space="0"/>
            </w:tcBorders>
            <w:shd w:val="clear" w:color="auto" w:fill="auto"/>
            <w:vAlign w:val="center"/>
          </w:tcPr>
          <w:p w14:paraId="28B3FB17">
            <w:pPr>
              <w:widowControl/>
              <w:jc w:val="center"/>
              <w:rPr>
                <w:rFonts w:ascii="宋体" w:hAnsi="宋体" w:cs="宋体"/>
                <w:kern w:val="0"/>
                <w:sz w:val="18"/>
                <w:szCs w:val="18"/>
              </w:rPr>
            </w:pPr>
            <w:r>
              <w:rPr>
                <w:rFonts w:hint="eastAsia" w:ascii="宋体" w:hAnsi="宋体" w:cs="宋体"/>
                <w:kern w:val="0"/>
                <w:sz w:val="18"/>
                <w:szCs w:val="18"/>
              </w:rPr>
              <w:t>100%</w:t>
            </w:r>
          </w:p>
        </w:tc>
        <w:tc>
          <w:tcPr>
            <w:tcW w:w="1080" w:type="dxa"/>
            <w:tcBorders>
              <w:top w:val="nil"/>
              <w:left w:val="nil"/>
              <w:bottom w:val="single" w:color="auto" w:sz="4" w:space="0"/>
              <w:right w:val="single" w:color="auto" w:sz="4" w:space="0"/>
            </w:tcBorders>
            <w:shd w:val="clear" w:color="auto" w:fill="auto"/>
            <w:vAlign w:val="center"/>
          </w:tcPr>
          <w:p w14:paraId="54013B7A">
            <w:pPr>
              <w:widowControl/>
              <w:jc w:val="left"/>
              <w:rPr>
                <w:rFonts w:ascii="宋体" w:hAnsi="宋体" w:cs="宋体"/>
                <w:kern w:val="0"/>
                <w:sz w:val="18"/>
                <w:szCs w:val="18"/>
              </w:rPr>
            </w:pPr>
            <w:r>
              <w:rPr>
                <w:rFonts w:hint="eastAsia" w:ascii="宋体" w:hAnsi="宋体" w:cs="宋体"/>
                <w:kern w:val="0"/>
                <w:sz w:val="18"/>
                <w:szCs w:val="18"/>
              </w:rPr>
              <w:t>　</w:t>
            </w:r>
          </w:p>
        </w:tc>
      </w:tr>
    </w:tbl>
    <w:p w14:paraId="39D4AB68">
      <w:pPr>
        <w:pStyle w:val="2"/>
        <w:spacing w:before="93"/>
        <w:rPr>
          <w:rFonts w:hint="eastAsia"/>
        </w:rPr>
      </w:pPr>
    </w:p>
    <w:tbl>
      <w:tblPr>
        <w:tblStyle w:val="13"/>
        <w:tblW w:w="9920" w:type="dxa"/>
        <w:tblInd w:w="93" w:type="dxa"/>
        <w:tblLayout w:type="autofit"/>
        <w:tblCellMar>
          <w:top w:w="0" w:type="dxa"/>
          <w:left w:w="108" w:type="dxa"/>
          <w:bottom w:w="0" w:type="dxa"/>
          <w:right w:w="108" w:type="dxa"/>
        </w:tblCellMar>
      </w:tblPr>
      <w:tblGrid>
        <w:gridCol w:w="740"/>
        <w:gridCol w:w="740"/>
        <w:gridCol w:w="980"/>
        <w:gridCol w:w="2020"/>
        <w:gridCol w:w="2280"/>
        <w:gridCol w:w="1300"/>
        <w:gridCol w:w="900"/>
        <w:gridCol w:w="960"/>
      </w:tblGrid>
      <w:tr w14:paraId="4455F8AC">
        <w:tblPrEx>
          <w:tblCellMar>
            <w:top w:w="0" w:type="dxa"/>
            <w:left w:w="108" w:type="dxa"/>
            <w:bottom w:w="0" w:type="dxa"/>
            <w:right w:w="108" w:type="dxa"/>
          </w:tblCellMar>
        </w:tblPrEx>
        <w:trPr>
          <w:trHeight w:val="675" w:hRule="atLeast"/>
        </w:trPr>
        <w:tc>
          <w:tcPr>
            <w:tcW w:w="9920" w:type="dxa"/>
            <w:gridSpan w:val="8"/>
            <w:tcBorders>
              <w:top w:val="nil"/>
              <w:left w:val="nil"/>
              <w:bottom w:val="nil"/>
              <w:right w:val="nil"/>
            </w:tcBorders>
            <w:shd w:val="clear" w:color="auto" w:fill="auto"/>
            <w:vAlign w:val="center"/>
          </w:tcPr>
          <w:p w14:paraId="3C15D1E9">
            <w:pPr>
              <w:widowControl/>
              <w:jc w:val="center"/>
              <w:rPr>
                <w:rFonts w:ascii="宋体" w:hAnsi="宋体" w:cs="宋体"/>
                <w:b/>
                <w:bCs/>
                <w:kern w:val="0"/>
                <w:sz w:val="32"/>
                <w:szCs w:val="32"/>
              </w:rPr>
            </w:pPr>
            <w:r>
              <w:rPr>
                <w:rFonts w:hint="eastAsia" w:ascii="宋体" w:hAnsi="宋体" w:cs="宋体"/>
                <w:b/>
                <w:bCs/>
                <w:kern w:val="0"/>
                <w:sz w:val="32"/>
                <w:szCs w:val="32"/>
              </w:rPr>
              <w:t>专项（项目）资金绩效自评表</w:t>
            </w:r>
          </w:p>
        </w:tc>
      </w:tr>
      <w:tr w14:paraId="6021AEF6">
        <w:tblPrEx>
          <w:tblCellMar>
            <w:top w:w="0" w:type="dxa"/>
            <w:left w:w="108" w:type="dxa"/>
            <w:bottom w:w="0" w:type="dxa"/>
            <w:right w:w="108" w:type="dxa"/>
          </w:tblCellMar>
        </w:tblPrEx>
        <w:trPr>
          <w:trHeight w:val="285" w:hRule="atLeast"/>
        </w:trPr>
        <w:tc>
          <w:tcPr>
            <w:tcW w:w="9920" w:type="dxa"/>
            <w:gridSpan w:val="8"/>
            <w:tcBorders>
              <w:top w:val="nil"/>
              <w:left w:val="nil"/>
              <w:bottom w:val="nil"/>
              <w:right w:val="nil"/>
            </w:tcBorders>
            <w:shd w:val="clear" w:color="auto" w:fill="auto"/>
            <w:vAlign w:val="center"/>
          </w:tcPr>
          <w:p w14:paraId="4F6987DD">
            <w:pPr>
              <w:widowControl/>
              <w:jc w:val="center"/>
              <w:rPr>
                <w:rFonts w:ascii="宋体" w:hAnsi="宋体" w:cs="宋体"/>
                <w:kern w:val="0"/>
                <w:sz w:val="24"/>
              </w:rPr>
            </w:pPr>
            <w:r>
              <w:rPr>
                <w:rFonts w:hint="eastAsia" w:ascii="宋体" w:hAnsi="宋体" w:cs="宋体"/>
                <w:kern w:val="0"/>
                <w:sz w:val="24"/>
              </w:rPr>
              <w:t>（</w:t>
            </w:r>
            <w:r>
              <w:rPr>
                <w:kern w:val="0"/>
                <w:sz w:val="24"/>
              </w:rPr>
              <w:t>2021</w:t>
            </w:r>
            <w:r>
              <w:rPr>
                <w:rFonts w:hint="eastAsia" w:ascii="宋体" w:hAnsi="宋体" w:cs="宋体"/>
                <w:kern w:val="0"/>
                <w:sz w:val="24"/>
              </w:rPr>
              <w:t>年度）</w:t>
            </w:r>
          </w:p>
        </w:tc>
      </w:tr>
      <w:tr w14:paraId="57ABE812">
        <w:tblPrEx>
          <w:tblCellMar>
            <w:top w:w="0" w:type="dxa"/>
            <w:left w:w="108" w:type="dxa"/>
            <w:bottom w:w="0" w:type="dxa"/>
            <w:right w:w="108" w:type="dxa"/>
          </w:tblCellMar>
        </w:tblPrEx>
        <w:trPr>
          <w:trHeight w:val="435" w:hRule="atLeast"/>
        </w:trPr>
        <w:tc>
          <w:tcPr>
            <w:tcW w:w="740" w:type="dxa"/>
            <w:tcBorders>
              <w:top w:val="nil"/>
              <w:left w:val="nil"/>
              <w:bottom w:val="single" w:color="auto" w:sz="4" w:space="0"/>
              <w:right w:val="nil"/>
            </w:tcBorders>
            <w:shd w:val="clear" w:color="auto" w:fill="auto"/>
            <w:noWrap/>
            <w:vAlign w:val="center"/>
          </w:tcPr>
          <w:p w14:paraId="350933F3">
            <w:pPr>
              <w:widowControl/>
              <w:jc w:val="left"/>
              <w:rPr>
                <w:rFonts w:ascii="宋体" w:hAnsi="宋体" w:cs="宋体"/>
                <w:kern w:val="0"/>
                <w:sz w:val="24"/>
              </w:rPr>
            </w:pPr>
          </w:p>
        </w:tc>
        <w:tc>
          <w:tcPr>
            <w:tcW w:w="740" w:type="dxa"/>
            <w:tcBorders>
              <w:top w:val="nil"/>
              <w:left w:val="nil"/>
              <w:bottom w:val="single" w:color="auto" w:sz="4" w:space="0"/>
              <w:right w:val="nil"/>
            </w:tcBorders>
            <w:shd w:val="clear" w:color="auto" w:fill="auto"/>
            <w:vAlign w:val="center"/>
          </w:tcPr>
          <w:p w14:paraId="3B5800BC">
            <w:pPr>
              <w:widowControl/>
              <w:jc w:val="left"/>
              <w:rPr>
                <w:rFonts w:ascii="宋体" w:hAnsi="宋体" w:cs="宋体"/>
                <w:kern w:val="0"/>
                <w:sz w:val="24"/>
              </w:rPr>
            </w:pPr>
          </w:p>
        </w:tc>
        <w:tc>
          <w:tcPr>
            <w:tcW w:w="980" w:type="dxa"/>
            <w:tcBorders>
              <w:top w:val="nil"/>
              <w:left w:val="nil"/>
              <w:bottom w:val="nil"/>
              <w:right w:val="nil"/>
            </w:tcBorders>
            <w:shd w:val="clear" w:color="auto" w:fill="auto"/>
            <w:vAlign w:val="center"/>
          </w:tcPr>
          <w:p w14:paraId="517E3C41">
            <w:pPr>
              <w:widowControl/>
              <w:jc w:val="left"/>
              <w:rPr>
                <w:rFonts w:ascii="宋体" w:hAnsi="宋体" w:cs="宋体"/>
                <w:kern w:val="0"/>
                <w:sz w:val="24"/>
              </w:rPr>
            </w:pPr>
          </w:p>
        </w:tc>
        <w:tc>
          <w:tcPr>
            <w:tcW w:w="2020" w:type="dxa"/>
            <w:tcBorders>
              <w:top w:val="nil"/>
              <w:left w:val="nil"/>
              <w:bottom w:val="nil"/>
              <w:right w:val="nil"/>
            </w:tcBorders>
            <w:shd w:val="clear" w:color="auto" w:fill="auto"/>
            <w:vAlign w:val="center"/>
          </w:tcPr>
          <w:p w14:paraId="1C39BF16">
            <w:pPr>
              <w:widowControl/>
              <w:jc w:val="left"/>
              <w:rPr>
                <w:rFonts w:ascii="宋体" w:hAnsi="宋体" w:cs="宋体"/>
                <w:kern w:val="0"/>
                <w:sz w:val="24"/>
              </w:rPr>
            </w:pPr>
          </w:p>
        </w:tc>
        <w:tc>
          <w:tcPr>
            <w:tcW w:w="2280" w:type="dxa"/>
            <w:tcBorders>
              <w:top w:val="nil"/>
              <w:left w:val="nil"/>
              <w:bottom w:val="nil"/>
              <w:right w:val="nil"/>
            </w:tcBorders>
            <w:shd w:val="clear" w:color="auto" w:fill="auto"/>
            <w:vAlign w:val="center"/>
          </w:tcPr>
          <w:p w14:paraId="77937D8A">
            <w:pPr>
              <w:widowControl/>
              <w:jc w:val="left"/>
              <w:rPr>
                <w:rFonts w:ascii="宋体" w:hAnsi="宋体" w:cs="宋体"/>
                <w:kern w:val="0"/>
                <w:sz w:val="24"/>
              </w:rPr>
            </w:pPr>
          </w:p>
        </w:tc>
        <w:tc>
          <w:tcPr>
            <w:tcW w:w="1300" w:type="dxa"/>
            <w:tcBorders>
              <w:top w:val="nil"/>
              <w:left w:val="nil"/>
              <w:bottom w:val="nil"/>
              <w:right w:val="nil"/>
            </w:tcBorders>
            <w:shd w:val="clear" w:color="auto" w:fill="auto"/>
            <w:vAlign w:val="center"/>
          </w:tcPr>
          <w:p w14:paraId="5D8F4610">
            <w:pPr>
              <w:widowControl/>
              <w:jc w:val="left"/>
              <w:rPr>
                <w:rFonts w:ascii="宋体" w:hAnsi="宋体" w:cs="宋体"/>
                <w:kern w:val="0"/>
                <w:sz w:val="24"/>
              </w:rPr>
            </w:pPr>
          </w:p>
        </w:tc>
        <w:tc>
          <w:tcPr>
            <w:tcW w:w="900" w:type="dxa"/>
            <w:tcBorders>
              <w:top w:val="nil"/>
              <w:left w:val="nil"/>
              <w:bottom w:val="nil"/>
              <w:right w:val="nil"/>
            </w:tcBorders>
            <w:shd w:val="clear" w:color="auto" w:fill="auto"/>
            <w:vAlign w:val="center"/>
          </w:tcPr>
          <w:p w14:paraId="5CC74542">
            <w:pPr>
              <w:widowControl/>
              <w:jc w:val="left"/>
              <w:rPr>
                <w:rFonts w:ascii="宋体" w:hAnsi="宋体" w:cs="宋体"/>
                <w:kern w:val="0"/>
                <w:sz w:val="24"/>
              </w:rPr>
            </w:pPr>
          </w:p>
        </w:tc>
        <w:tc>
          <w:tcPr>
            <w:tcW w:w="960" w:type="dxa"/>
            <w:tcBorders>
              <w:top w:val="nil"/>
              <w:left w:val="nil"/>
              <w:bottom w:val="nil"/>
              <w:right w:val="nil"/>
            </w:tcBorders>
            <w:shd w:val="clear" w:color="auto" w:fill="auto"/>
            <w:vAlign w:val="center"/>
          </w:tcPr>
          <w:p w14:paraId="64130B06">
            <w:pPr>
              <w:widowControl/>
              <w:jc w:val="left"/>
              <w:rPr>
                <w:rFonts w:ascii="宋体" w:hAnsi="宋体" w:cs="宋体"/>
                <w:kern w:val="0"/>
                <w:sz w:val="24"/>
              </w:rPr>
            </w:pPr>
          </w:p>
        </w:tc>
      </w:tr>
      <w:tr w14:paraId="1FDFBCD7">
        <w:tblPrEx>
          <w:tblCellMar>
            <w:top w:w="0" w:type="dxa"/>
            <w:left w:w="108" w:type="dxa"/>
            <w:bottom w:w="0" w:type="dxa"/>
            <w:right w:w="108" w:type="dxa"/>
          </w:tblCellMar>
        </w:tblPrEx>
        <w:trPr>
          <w:trHeight w:val="439" w:hRule="atLeast"/>
        </w:trPr>
        <w:tc>
          <w:tcPr>
            <w:tcW w:w="2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74588">
            <w:pPr>
              <w:widowControl/>
              <w:jc w:val="center"/>
              <w:rPr>
                <w:rFonts w:ascii="宋体" w:hAnsi="宋体" w:cs="宋体"/>
                <w:kern w:val="0"/>
                <w:sz w:val="18"/>
                <w:szCs w:val="18"/>
              </w:rPr>
            </w:pPr>
            <w:r>
              <w:rPr>
                <w:rFonts w:hint="eastAsia" w:ascii="宋体" w:hAnsi="宋体" w:cs="宋体"/>
                <w:kern w:val="0"/>
                <w:sz w:val="18"/>
                <w:szCs w:val="18"/>
              </w:rPr>
              <w:t>专项（项目）名称</w:t>
            </w:r>
          </w:p>
        </w:tc>
        <w:tc>
          <w:tcPr>
            <w:tcW w:w="7460" w:type="dxa"/>
            <w:gridSpan w:val="5"/>
            <w:tcBorders>
              <w:top w:val="single" w:color="auto" w:sz="4" w:space="0"/>
              <w:left w:val="nil"/>
              <w:bottom w:val="single" w:color="auto" w:sz="4" w:space="0"/>
              <w:right w:val="single" w:color="auto" w:sz="4" w:space="0"/>
            </w:tcBorders>
            <w:shd w:val="clear" w:color="auto" w:fill="auto"/>
            <w:vAlign w:val="center"/>
          </w:tcPr>
          <w:p w14:paraId="02FCFE5A">
            <w:pPr>
              <w:widowControl/>
              <w:jc w:val="center"/>
              <w:rPr>
                <w:rFonts w:ascii="宋体" w:hAnsi="宋体" w:cs="宋体"/>
                <w:kern w:val="0"/>
                <w:sz w:val="18"/>
                <w:szCs w:val="18"/>
              </w:rPr>
            </w:pPr>
            <w:r>
              <w:rPr>
                <w:rFonts w:hint="eastAsia" w:ascii="宋体" w:hAnsi="宋体" w:cs="宋体"/>
                <w:kern w:val="0"/>
                <w:sz w:val="18"/>
                <w:szCs w:val="18"/>
              </w:rPr>
              <w:t>技改前期工作经费</w:t>
            </w:r>
          </w:p>
        </w:tc>
      </w:tr>
      <w:tr w14:paraId="0FB76E98">
        <w:tblPrEx>
          <w:tblCellMar>
            <w:top w:w="0" w:type="dxa"/>
            <w:left w:w="108" w:type="dxa"/>
            <w:bottom w:w="0" w:type="dxa"/>
            <w:right w:w="108" w:type="dxa"/>
          </w:tblCellMar>
        </w:tblPrEx>
        <w:trPr>
          <w:trHeight w:val="439" w:hRule="atLeast"/>
        </w:trPr>
        <w:tc>
          <w:tcPr>
            <w:tcW w:w="2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044D05">
            <w:pPr>
              <w:widowControl/>
              <w:jc w:val="center"/>
              <w:rPr>
                <w:rFonts w:ascii="宋体" w:hAnsi="宋体" w:cs="宋体"/>
                <w:kern w:val="0"/>
                <w:sz w:val="18"/>
                <w:szCs w:val="18"/>
              </w:rPr>
            </w:pPr>
            <w:r>
              <w:rPr>
                <w:rFonts w:hint="eastAsia" w:ascii="宋体" w:hAnsi="宋体" w:cs="宋体"/>
                <w:kern w:val="0"/>
                <w:sz w:val="18"/>
                <w:szCs w:val="18"/>
              </w:rPr>
              <w:t>项目主管单位</w:t>
            </w:r>
          </w:p>
        </w:tc>
        <w:tc>
          <w:tcPr>
            <w:tcW w:w="7460" w:type="dxa"/>
            <w:gridSpan w:val="5"/>
            <w:tcBorders>
              <w:top w:val="single" w:color="auto" w:sz="4" w:space="0"/>
              <w:left w:val="nil"/>
              <w:bottom w:val="single" w:color="auto" w:sz="4" w:space="0"/>
              <w:right w:val="single" w:color="auto" w:sz="4" w:space="0"/>
            </w:tcBorders>
            <w:shd w:val="clear" w:color="auto" w:fill="auto"/>
            <w:vAlign w:val="center"/>
          </w:tcPr>
          <w:p w14:paraId="23EFE42F">
            <w:pPr>
              <w:widowControl/>
              <w:jc w:val="center"/>
              <w:rPr>
                <w:rFonts w:ascii="宋体" w:hAnsi="宋体" w:cs="宋体"/>
                <w:kern w:val="0"/>
                <w:sz w:val="18"/>
                <w:szCs w:val="18"/>
              </w:rPr>
            </w:pPr>
            <w:r>
              <w:rPr>
                <w:rFonts w:hint="eastAsia" w:ascii="宋体" w:hAnsi="宋体" w:cs="宋体"/>
                <w:kern w:val="0"/>
                <w:sz w:val="18"/>
                <w:szCs w:val="18"/>
              </w:rPr>
              <w:t>市经济和信息化局</w:t>
            </w:r>
          </w:p>
        </w:tc>
      </w:tr>
      <w:tr w14:paraId="4E87CF4B">
        <w:tblPrEx>
          <w:tblCellMar>
            <w:top w:w="0" w:type="dxa"/>
            <w:left w:w="108" w:type="dxa"/>
            <w:bottom w:w="0" w:type="dxa"/>
            <w:right w:w="108" w:type="dxa"/>
          </w:tblCellMar>
        </w:tblPrEx>
        <w:trPr>
          <w:trHeight w:val="439" w:hRule="atLeast"/>
        </w:trPr>
        <w:tc>
          <w:tcPr>
            <w:tcW w:w="246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4EDB5E93">
            <w:pPr>
              <w:widowControl/>
              <w:jc w:val="center"/>
              <w:rPr>
                <w:rFonts w:ascii="宋体" w:hAnsi="宋体" w:cs="宋体"/>
                <w:kern w:val="0"/>
                <w:sz w:val="18"/>
                <w:szCs w:val="18"/>
              </w:rPr>
            </w:pPr>
            <w:r>
              <w:rPr>
                <w:rFonts w:hint="eastAsia" w:ascii="宋体" w:hAnsi="宋体" w:cs="宋体"/>
                <w:kern w:val="0"/>
                <w:sz w:val="18"/>
                <w:szCs w:val="18"/>
              </w:rPr>
              <w:t>项目实施单位</w:t>
            </w:r>
          </w:p>
        </w:tc>
        <w:tc>
          <w:tcPr>
            <w:tcW w:w="7460" w:type="dxa"/>
            <w:gridSpan w:val="5"/>
            <w:tcBorders>
              <w:top w:val="single" w:color="auto" w:sz="4" w:space="0"/>
              <w:left w:val="nil"/>
              <w:bottom w:val="single" w:color="auto" w:sz="4" w:space="0"/>
              <w:right w:val="single" w:color="auto" w:sz="4" w:space="0"/>
            </w:tcBorders>
            <w:shd w:val="clear" w:color="auto" w:fill="auto"/>
            <w:vAlign w:val="center"/>
          </w:tcPr>
          <w:p w14:paraId="636A1B75">
            <w:pPr>
              <w:widowControl/>
              <w:jc w:val="center"/>
              <w:rPr>
                <w:rFonts w:ascii="宋体" w:hAnsi="宋体" w:cs="宋体"/>
                <w:kern w:val="0"/>
                <w:sz w:val="18"/>
                <w:szCs w:val="18"/>
              </w:rPr>
            </w:pPr>
            <w:r>
              <w:rPr>
                <w:rFonts w:hint="eastAsia" w:ascii="宋体" w:hAnsi="宋体" w:cs="宋体"/>
                <w:kern w:val="0"/>
                <w:sz w:val="18"/>
                <w:szCs w:val="18"/>
              </w:rPr>
              <w:t>市经济和信息化局</w:t>
            </w:r>
          </w:p>
        </w:tc>
      </w:tr>
      <w:tr w14:paraId="32F0AB54">
        <w:tblPrEx>
          <w:tblCellMar>
            <w:top w:w="0" w:type="dxa"/>
            <w:left w:w="108" w:type="dxa"/>
            <w:bottom w:w="0" w:type="dxa"/>
            <w:right w:w="108" w:type="dxa"/>
          </w:tblCellMar>
        </w:tblPrEx>
        <w:trPr>
          <w:trHeight w:val="439" w:hRule="atLeast"/>
        </w:trPr>
        <w:tc>
          <w:tcPr>
            <w:tcW w:w="24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CA0006">
            <w:pPr>
              <w:widowControl/>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020" w:type="dxa"/>
            <w:tcBorders>
              <w:top w:val="nil"/>
              <w:left w:val="nil"/>
              <w:bottom w:val="single" w:color="auto" w:sz="4" w:space="0"/>
              <w:right w:val="single" w:color="auto" w:sz="4" w:space="0"/>
            </w:tcBorders>
            <w:shd w:val="clear" w:color="auto" w:fill="auto"/>
            <w:vAlign w:val="center"/>
          </w:tcPr>
          <w:p w14:paraId="3CA22ECF">
            <w:pPr>
              <w:widowControl/>
              <w:jc w:val="center"/>
              <w:rPr>
                <w:rFonts w:ascii="宋体" w:hAnsi="宋体" w:cs="宋体"/>
                <w:kern w:val="0"/>
                <w:sz w:val="18"/>
                <w:szCs w:val="18"/>
              </w:rPr>
            </w:pPr>
            <w:r>
              <w:rPr>
                <w:rFonts w:hint="eastAsia" w:ascii="宋体" w:hAnsi="宋体" w:cs="宋体"/>
                <w:kern w:val="0"/>
                <w:sz w:val="18"/>
                <w:szCs w:val="18"/>
              </w:rPr>
              <w:t>　</w:t>
            </w:r>
          </w:p>
        </w:tc>
        <w:tc>
          <w:tcPr>
            <w:tcW w:w="2280" w:type="dxa"/>
            <w:tcBorders>
              <w:top w:val="nil"/>
              <w:left w:val="nil"/>
              <w:bottom w:val="single" w:color="auto" w:sz="4" w:space="0"/>
              <w:right w:val="single" w:color="auto" w:sz="4" w:space="0"/>
            </w:tcBorders>
            <w:shd w:val="clear" w:color="auto" w:fill="auto"/>
            <w:vAlign w:val="center"/>
          </w:tcPr>
          <w:p w14:paraId="3AD807B3">
            <w:pPr>
              <w:widowControl/>
              <w:jc w:val="center"/>
              <w:rPr>
                <w:rFonts w:ascii="宋体" w:hAnsi="宋体" w:cs="宋体"/>
                <w:kern w:val="0"/>
                <w:sz w:val="18"/>
                <w:szCs w:val="18"/>
              </w:rPr>
            </w:pPr>
            <w:r>
              <w:rPr>
                <w:rFonts w:hint="eastAsia" w:ascii="宋体" w:hAnsi="宋体" w:cs="宋体"/>
                <w:kern w:val="0"/>
                <w:sz w:val="18"/>
                <w:szCs w:val="18"/>
              </w:rPr>
              <w:t>全年预算数</w:t>
            </w:r>
          </w:p>
        </w:tc>
        <w:tc>
          <w:tcPr>
            <w:tcW w:w="1300" w:type="dxa"/>
            <w:tcBorders>
              <w:top w:val="nil"/>
              <w:left w:val="nil"/>
              <w:bottom w:val="single" w:color="auto" w:sz="4" w:space="0"/>
              <w:right w:val="single" w:color="auto" w:sz="4" w:space="0"/>
            </w:tcBorders>
            <w:shd w:val="clear" w:color="auto" w:fill="auto"/>
            <w:vAlign w:val="center"/>
          </w:tcPr>
          <w:p w14:paraId="04A2563D">
            <w:pPr>
              <w:widowControl/>
              <w:jc w:val="center"/>
              <w:rPr>
                <w:rFonts w:ascii="宋体" w:hAnsi="宋体" w:cs="宋体"/>
                <w:kern w:val="0"/>
                <w:sz w:val="18"/>
                <w:szCs w:val="18"/>
              </w:rPr>
            </w:pPr>
            <w:r>
              <w:rPr>
                <w:rFonts w:hint="eastAsia" w:ascii="宋体" w:hAnsi="宋体" w:cs="宋体"/>
                <w:kern w:val="0"/>
                <w:sz w:val="18"/>
                <w:szCs w:val="18"/>
              </w:rPr>
              <w:t>实际完成数</w:t>
            </w:r>
          </w:p>
        </w:tc>
        <w:tc>
          <w:tcPr>
            <w:tcW w:w="1860" w:type="dxa"/>
            <w:gridSpan w:val="2"/>
            <w:tcBorders>
              <w:top w:val="single" w:color="auto" w:sz="4" w:space="0"/>
              <w:left w:val="nil"/>
              <w:bottom w:val="single" w:color="auto" w:sz="4" w:space="0"/>
              <w:right w:val="single" w:color="000000" w:sz="4" w:space="0"/>
            </w:tcBorders>
            <w:shd w:val="clear" w:color="auto" w:fill="auto"/>
            <w:vAlign w:val="center"/>
          </w:tcPr>
          <w:p w14:paraId="7D2A8A9D">
            <w:pPr>
              <w:widowControl/>
              <w:jc w:val="center"/>
              <w:rPr>
                <w:rFonts w:ascii="宋体" w:hAnsi="宋体" w:cs="宋体"/>
                <w:kern w:val="0"/>
                <w:sz w:val="18"/>
                <w:szCs w:val="18"/>
              </w:rPr>
            </w:pPr>
            <w:r>
              <w:rPr>
                <w:rFonts w:hint="eastAsia" w:ascii="宋体" w:hAnsi="宋体" w:cs="宋体"/>
                <w:kern w:val="0"/>
                <w:sz w:val="18"/>
                <w:szCs w:val="18"/>
              </w:rPr>
              <w:t>执行率（%）</w:t>
            </w:r>
          </w:p>
        </w:tc>
      </w:tr>
      <w:tr w14:paraId="3E5135BF">
        <w:tblPrEx>
          <w:tblCellMar>
            <w:top w:w="0" w:type="dxa"/>
            <w:left w:w="108" w:type="dxa"/>
            <w:bottom w:w="0" w:type="dxa"/>
            <w:right w:w="108" w:type="dxa"/>
          </w:tblCellMar>
        </w:tblPrEx>
        <w:trPr>
          <w:trHeight w:val="439" w:hRule="atLeast"/>
        </w:trPr>
        <w:tc>
          <w:tcPr>
            <w:tcW w:w="2460" w:type="dxa"/>
            <w:gridSpan w:val="3"/>
            <w:vMerge w:val="continue"/>
            <w:tcBorders>
              <w:top w:val="single" w:color="auto" w:sz="4" w:space="0"/>
              <w:left w:val="single" w:color="auto" w:sz="4" w:space="0"/>
              <w:bottom w:val="single" w:color="auto" w:sz="4" w:space="0"/>
              <w:right w:val="single" w:color="auto" w:sz="4" w:space="0"/>
            </w:tcBorders>
            <w:vAlign w:val="center"/>
          </w:tcPr>
          <w:p w14:paraId="5CA49BEB">
            <w:pPr>
              <w:widowControl/>
              <w:jc w:val="left"/>
              <w:rPr>
                <w:rFonts w:ascii="宋体" w:hAnsi="宋体" w:cs="宋体"/>
                <w:kern w:val="0"/>
                <w:sz w:val="18"/>
                <w:szCs w:val="18"/>
              </w:rPr>
            </w:pPr>
          </w:p>
        </w:tc>
        <w:tc>
          <w:tcPr>
            <w:tcW w:w="2020" w:type="dxa"/>
            <w:tcBorders>
              <w:top w:val="nil"/>
              <w:left w:val="nil"/>
              <w:bottom w:val="single" w:color="auto" w:sz="4" w:space="0"/>
              <w:right w:val="single" w:color="auto" w:sz="4" w:space="0"/>
            </w:tcBorders>
            <w:shd w:val="clear" w:color="auto" w:fill="auto"/>
            <w:vAlign w:val="center"/>
          </w:tcPr>
          <w:p w14:paraId="1D8F6897">
            <w:pPr>
              <w:widowControl/>
              <w:jc w:val="left"/>
              <w:rPr>
                <w:rFonts w:ascii="宋体" w:hAnsi="宋体" w:cs="宋体"/>
                <w:kern w:val="0"/>
                <w:sz w:val="18"/>
                <w:szCs w:val="18"/>
              </w:rPr>
            </w:pPr>
            <w:r>
              <w:rPr>
                <w:rFonts w:hint="eastAsia" w:ascii="宋体" w:hAnsi="宋体" w:cs="宋体"/>
                <w:kern w:val="0"/>
                <w:sz w:val="18"/>
                <w:szCs w:val="18"/>
              </w:rPr>
              <w:t xml:space="preserve"> 年度资金总额：</w:t>
            </w:r>
          </w:p>
        </w:tc>
        <w:tc>
          <w:tcPr>
            <w:tcW w:w="2280" w:type="dxa"/>
            <w:tcBorders>
              <w:top w:val="nil"/>
              <w:left w:val="nil"/>
              <w:bottom w:val="single" w:color="auto" w:sz="4" w:space="0"/>
              <w:right w:val="single" w:color="auto" w:sz="4" w:space="0"/>
            </w:tcBorders>
            <w:shd w:val="clear" w:color="auto" w:fill="auto"/>
            <w:vAlign w:val="center"/>
          </w:tcPr>
          <w:p w14:paraId="0C9CD616">
            <w:pPr>
              <w:widowControl/>
              <w:jc w:val="center"/>
              <w:rPr>
                <w:rFonts w:ascii="宋体" w:hAnsi="宋体" w:cs="宋体"/>
                <w:kern w:val="0"/>
                <w:sz w:val="18"/>
                <w:szCs w:val="18"/>
              </w:rPr>
            </w:pPr>
            <w:r>
              <w:rPr>
                <w:rFonts w:hint="eastAsia" w:ascii="宋体" w:hAnsi="宋体" w:cs="宋体"/>
                <w:kern w:val="0"/>
                <w:sz w:val="18"/>
                <w:szCs w:val="18"/>
              </w:rPr>
              <w:t>37</w:t>
            </w:r>
          </w:p>
        </w:tc>
        <w:tc>
          <w:tcPr>
            <w:tcW w:w="1300" w:type="dxa"/>
            <w:tcBorders>
              <w:top w:val="nil"/>
              <w:left w:val="nil"/>
              <w:bottom w:val="single" w:color="auto" w:sz="4" w:space="0"/>
              <w:right w:val="single" w:color="auto" w:sz="4" w:space="0"/>
            </w:tcBorders>
            <w:shd w:val="clear" w:color="auto" w:fill="auto"/>
            <w:vAlign w:val="center"/>
          </w:tcPr>
          <w:p w14:paraId="471B0598">
            <w:pPr>
              <w:widowControl/>
              <w:jc w:val="center"/>
              <w:rPr>
                <w:rFonts w:ascii="宋体" w:hAnsi="宋体" w:cs="宋体"/>
                <w:kern w:val="0"/>
                <w:sz w:val="18"/>
                <w:szCs w:val="18"/>
              </w:rPr>
            </w:pPr>
            <w:r>
              <w:rPr>
                <w:rFonts w:hint="eastAsia" w:ascii="宋体" w:hAnsi="宋体" w:cs="宋体"/>
                <w:kern w:val="0"/>
                <w:sz w:val="18"/>
                <w:szCs w:val="18"/>
              </w:rPr>
              <w:t>37</w:t>
            </w:r>
          </w:p>
        </w:tc>
        <w:tc>
          <w:tcPr>
            <w:tcW w:w="1860" w:type="dxa"/>
            <w:gridSpan w:val="2"/>
            <w:tcBorders>
              <w:top w:val="single" w:color="auto" w:sz="4" w:space="0"/>
              <w:left w:val="nil"/>
              <w:bottom w:val="single" w:color="auto" w:sz="4" w:space="0"/>
              <w:right w:val="single" w:color="000000" w:sz="4" w:space="0"/>
            </w:tcBorders>
            <w:shd w:val="clear" w:color="auto" w:fill="auto"/>
            <w:vAlign w:val="center"/>
          </w:tcPr>
          <w:p w14:paraId="6A9D1252">
            <w:pPr>
              <w:widowControl/>
              <w:jc w:val="center"/>
              <w:rPr>
                <w:rFonts w:ascii="宋体" w:hAnsi="宋体" w:cs="宋体"/>
                <w:kern w:val="0"/>
                <w:sz w:val="18"/>
                <w:szCs w:val="18"/>
              </w:rPr>
            </w:pPr>
            <w:r>
              <w:rPr>
                <w:rFonts w:hint="eastAsia" w:ascii="宋体" w:hAnsi="宋体" w:cs="宋体"/>
                <w:kern w:val="0"/>
                <w:sz w:val="18"/>
                <w:szCs w:val="18"/>
              </w:rPr>
              <w:t>100%</w:t>
            </w:r>
          </w:p>
        </w:tc>
      </w:tr>
      <w:tr w14:paraId="36DC2656">
        <w:tblPrEx>
          <w:tblCellMar>
            <w:top w:w="0" w:type="dxa"/>
            <w:left w:w="108" w:type="dxa"/>
            <w:bottom w:w="0" w:type="dxa"/>
            <w:right w:w="108" w:type="dxa"/>
          </w:tblCellMar>
        </w:tblPrEx>
        <w:trPr>
          <w:trHeight w:val="439" w:hRule="atLeast"/>
        </w:trPr>
        <w:tc>
          <w:tcPr>
            <w:tcW w:w="2460" w:type="dxa"/>
            <w:gridSpan w:val="3"/>
            <w:vMerge w:val="continue"/>
            <w:tcBorders>
              <w:top w:val="single" w:color="auto" w:sz="4" w:space="0"/>
              <w:left w:val="single" w:color="auto" w:sz="4" w:space="0"/>
              <w:bottom w:val="single" w:color="auto" w:sz="4" w:space="0"/>
              <w:right w:val="single" w:color="auto" w:sz="4" w:space="0"/>
            </w:tcBorders>
            <w:vAlign w:val="center"/>
          </w:tcPr>
          <w:p w14:paraId="36819194">
            <w:pPr>
              <w:widowControl/>
              <w:jc w:val="left"/>
              <w:rPr>
                <w:rFonts w:ascii="宋体" w:hAnsi="宋体" w:cs="宋体"/>
                <w:kern w:val="0"/>
                <w:sz w:val="18"/>
                <w:szCs w:val="18"/>
              </w:rPr>
            </w:pPr>
          </w:p>
        </w:tc>
        <w:tc>
          <w:tcPr>
            <w:tcW w:w="2020" w:type="dxa"/>
            <w:tcBorders>
              <w:top w:val="nil"/>
              <w:left w:val="nil"/>
              <w:bottom w:val="single" w:color="auto" w:sz="4" w:space="0"/>
              <w:right w:val="single" w:color="auto" w:sz="4" w:space="0"/>
            </w:tcBorders>
            <w:shd w:val="clear" w:color="auto" w:fill="auto"/>
            <w:vAlign w:val="center"/>
          </w:tcPr>
          <w:p w14:paraId="66A64492">
            <w:pPr>
              <w:widowControl/>
              <w:jc w:val="left"/>
              <w:rPr>
                <w:rFonts w:ascii="宋体" w:hAnsi="宋体" w:cs="宋体"/>
                <w:kern w:val="0"/>
                <w:sz w:val="18"/>
                <w:szCs w:val="18"/>
              </w:rPr>
            </w:pPr>
            <w:r>
              <w:rPr>
                <w:rFonts w:hint="eastAsia" w:ascii="宋体" w:hAnsi="宋体" w:cs="宋体"/>
                <w:kern w:val="0"/>
                <w:sz w:val="18"/>
                <w:szCs w:val="18"/>
              </w:rPr>
              <w:t xml:space="preserve">       其中：上级财政资金</w:t>
            </w:r>
          </w:p>
        </w:tc>
        <w:tc>
          <w:tcPr>
            <w:tcW w:w="2280" w:type="dxa"/>
            <w:tcBorders>
              <w:top w:val="nil"/>
              <w:left w:val="nil"/>
              <w:bottom w:val="single" w:color="auto" w:sz="4" w:space="0"/>
              <w:right w:val="single" w:color="auto" w:sz="4" w:space="0"/>
            </w:tcBorders>
            <w:shd w:val="clear" w:color="auto" w:fill="auto"/>
            <w:vAlign w:val="center"/>
          </w:tcPr>
          <w:p w14:paraId="59DE5AEA">
            <w:pPr>
              <w:widowControl/>
              <w:jc w:val="center"/>
              <w:rPr>
                <w:rFonts w:ascii="宋体" w:hAnsi="宋体" w:cs="宋体"/>
                <w:kern w:val="0"/>
                <w:sz w:val="18"/>
                <w:szCs w:val="18"/>
              </w:rPr>
            </w:pPr>
            <w:r>
              <w:rPr>
                <w:rFonts w:hint="eastAsia" w:ascii="宋体" w:hAnsi="宋体" w:cs="宋体"/>
                <w:kern w:val="0"/>
                <w:sz w:val="18"/>
                <w:szCs w:val="18"/>
              </w:rPr>
              <w:t>37</w:t>
            </w:r>
          </w:p>
        </w:tc>
        <w:tc>
          <w:tcPr>
            <w:tcW w:w="1300" w:type="dxa"/>
            <w:tcBorders>
              <w:top w:val="nil"/>
              <w:left w:val="nil"/>
              <w:bottom w:val="single" w:color="auto" w:sz="4" w:space="0"/>
              <w:right w:val="single" w:color="auto" w:sz="4" w:space="0"/>
            </w:tcBorders>
            <w:shd w:val="clear" w:color="auto" w:fill="auto"/>
            <w:vAlign w:val="center"/>
          </w:tcPr>
          <w:p w14:paraId="157DCBC8">
            <w:pPr>
              <w:widowControl/>
              <w:jc w:val="center"/>
              <w:rPr>
                <w:rFonts w:ascii="宋体" w:hAnsi="宋体" w:cs="宋体"/>
                <w:kern w:val="0"/>
                <w:sz w:val="18"/>
                <w:szCs w:val="18"/>
              </w:rPr>
            </w:pPr>
            <w:r>
              <w:rPr>
                <w:rFonts w:hint="eastAsia" w:ascii="宋体" w:hAnsi="宋体" w:cs="宋体"/>
                <w:kern w:val="0"/>
                <w:sz w:val="18"/>
                <w:szCs w:val="18"/>
              </w:rPr>
              <w:t>37</w:t>
            </w:r>
          </w:p>
        </w:tc>
        <w:tc>
          <w:tcPr>
            <w:tcW w:w="1860" w:type="dxa"/>
            <w:gridSpan w:val="2"/>
            <w:tcBorders>
              <w:top w:val="single" w:color="auto" w:sz="4" w:space="0"/>
              <w:left w:val="nil"/>
              <w:bottom w:val="single" w:color="auto" w:sz="4" w:space="0"/>
              <w:right w:val="single" w:color="000000" w:sz="4" w:space="0"/>
            </w:tcBorders>
            <w:shd w:val="clear" w:color="auto" w:fill="auto"/>
            <w:vAlign w:val="center"/>
          </w:tcPr>
          <w:p w14:paraId="423A9A65">
            <w:pPr>
              <w:widowControl/>
              <w:jc w:val="center"/>
              <w:rPr>
                <w:rFonts w:ascii="宋体" w:hAnsi="宋体" w:cs="宋体"/>
                <w:kern w:val="0"/>
                <w:sz w:val="18"/>
                <w:szCs w:val="18"/>
              </w:rPr>
            </w:pPr>
            <w:r>
              <w:rPr>
                <w:rFonts w:hint="eastAsia" w:ascii="宋体" w:hAnsi="宋体" w:cs="宋体"/>
                <w:kern w:val="0"/>
                <w:sz w:val="18"/>
                <w:szCs w:val="18"/>
              </w:rPr>
              <w:t>100%</w:t>
            </w:r>
          </w:p>
        </w:tc>
      </w:tr>
      <w:tr w14:paraId="3513D2D2">
        <w:tblPrEx>
          <w:tblCellMar>
            <w:top w:w="0" w:type="dxa"/>
            <w:left w:w="108" w:type="dxa"/>
            <w:bottom w:w="0" w:type="dxa"/>
            <w:right w:w="108" w:type="dxa"/>
          </w:tblCellMar>
        </w:tblPrEx>
        <w:trPr>
          <w:trHeight w:val="439" w:hRule="atLeast"/>
        </w:trPr>
        <w:tc>
          <w:tcPr>
            <w:tcW w:w="2460" w:type="dxa"/>
            <w:gridSpan w:val="3"/>
            <w:vMerge w:val="continue"/>
            <w:tcBorders>
              <w:top w:val="single" w:color="auto" w:sz="4" w:space="0"/>
              <w:left w:val="single" w:color="auto" w:sz="4" w:space="0"/>
              <w:bottom w:val="single" w:color="auto" w:sz="4" w:space="0"/>
              <w:right w:val="single" w:color="auto" w:sz="4" w:space="0"/>
            </w:tcBorders>
            <w:vAlign w:val="center"/>
          </w:tcPr>
          <w:p w14:paraId="35421BD7">
            <w:pPr>
              <w:widowControl/>
              <w:jc w:val="left"/>
              <w:rPr>
                <w:rFonts w:ascii="宋体" w:hAnsi="宋体" w:cs="宋体"/>
                <w:kern w:val="0"/>
                <w:sz w:val="18"/>
                <w:szCs w:val="18"/>
              </w:rPr>
            </w:pPr>
          </w:p>
        </w:tc>
        <w:tc>
          <w:tcPr>
            <w:tcW w:w="2020" w:type="dxa"/>
            <w:tcBorders>
              <w:top w:val="nil"/>
              <w:left w:val="nil"/>
              <w:bottom w:val="single" w:color="auto" w:sz="4" w:space="0"/>
              <w:right w:val="single" w:color="auto" w:sz="4" w:space="0"/>
            </w:tcBorders>
            <w:shd w:val="clear" w:color="auto" w:fill="auto"/>
            <w:vAlign w:val="center"/>
          </w:tcPr>
          <w:p w14:paraId="49DD8C59">
            <w:pPr>
              <w:widowControl/>
              <w:jc w:val="left"/>
              <w:rPr>
                <w:rFonts w:ascii="宋体" w:hAnsi="宋体" w:cs="宋体"/>
                <w:kern w:val="0"/>
                <w:sz w:val="18"/>
                <w:szCs w:val="18"/>
              </w:rPr>
            </w:pPr>
            <w:r>
              <w:rPr>
                <w:rFonts w:hint="eastAsia" w:ascii="宋体" w:hAnsi="宋体" w:cs="宋体"/>
                <w:kern w:val="0"/>
                <w:sz w:val="18"/>
                <w:szCs w:val="18"/>
              </w:rPr>
              <w:t xml:space="preserve">             本级财政资金</w:t>
            </w:r>
          </w:p>
        </w:tc>
        <w:tc>
          <w:tcPr>
            <w:tcW w:w="2280" w:type="dxa"/>
            <w:tcBorders>
              <w:top w:val="nil"/>
              <w:left w:val="nil"/>
              <w:bottom w:val="single" w:color="auto" w:sz="4" w:space="0"/>
              <w:right w:val="single" w:color="auto" w:sz="4" w:space="0"/>
            </w:tcBorders>
            <w:shd w:val="clear" w:color="auto" w:fill="auto"/>
            <w:vAlign w:val="center"/>
          </w:tcPr>
          <w:p w14:paraId="0E5F9A1F">
            <w:pPr>
              <w:widowControl/>
              <w:jc w:val="center"/>
              <w:rPr>
                <w:rFonts w:ascii="宋体" w:hAnsi="宋体" w:cs="宋体"/>
                <w:kern w:val="0"/>
                <w:sz w:val="18"/>
                <w:szCs w:val="18"/>
              </w:rPr>
            </w:pPr>
            <w:r>
              <w:rPr>
                <w:rFonts w:hint="eastAsia" w:ascii="宋体" w:hAnsi="宋体" w:cs="宋体"/>
                <w:kern w:val="0"/>
                <w:sz w:val="18"/>
                <w:szCs w:val="18"/>
              </w:rPr>
              <w:t>　</w:t>
            </w:r>
          </w:p>
        </w:tc>
        <w:tc>
          <w:tcPr>
            <w:tcW w:w="1300" w:type="dxa"/>
            <w:tcBorders>
              <w:top w:val="nil"/>
              <w:left w:val="nil"/>
              <w:bottom w:val="single" w:color="auto" w:sz="4" w:space="0"/>
              <w:right w:val="single" w:color="auto" w:sz="4" w:space="0"/>
            </w:tcBorders>
            <w:shd w:val="clear" w:color="auto" w:fill="auto"/>
            <w:vAlign w:val="center"/>
          </w:tcPr>
          <w:p w14:paraId="495FE178">
            <w:pPr>
              <w:widowControl/>
              <w:jc w:val="center"/>
              <w:rPr>
                <w:rFonts w:ascii="宋体" w:hAnsi="宋体" w:cs="宋体"/>
                <w:kern w:val="0"/>
                <w:sz w:val="18"/>
                <w:szCs w:val="18"/>
              </w:rPr>
            </w:pPr>
            <w:r>
              <w:rPr>
                <w:rFonts w:hint="eastAsia" w:ascii="宋体" w:hAnsi="宋体" w:cs="宋体"/>
                <w:kern w:val="0"/>
                <w:sz w:val="18"/>
                <w:szCs w:val="18"/>
              </w:rPr>
              <w:t>　</w:t>
            </w:r>
          </w:p>
        </w:tc>
        <w:tc>
          <w:tcPr>
            <w:tcW w:w="1860" w:type="dxa"/>
            <w:gridSpan w:val="2"/>
            <w:tcBorders>
              <w:top w:val="single" w:color="auto" w:sz="4" w:space="0"/>
              <w:left w:val="nil"/>
              <w:bottom w:val="single" w:color="auto" w:sz="4" w:space="0"/>
              <w:right w:val="single" w:color="000000" w:sz="4" w:space="0"/>
            </w:tcBorders>
            <w:shd w:val="clear" w:color="auto" w:fill="auto"/>
            <w:vAlign w:val="center"/>
          </w:tcPr>
          <w:p w14:paraId="5183D257">
            <w:pPr>
              <w:widowControl/>
              <w:jc w:val="center"/>
              <w:rPr>
                <w:rFonts w:ascii="宋体" w:hAnsi="宋体" w:cs="宋体"/>
                <w:kern w:val="0"/>
                <w:sz w:val="18"/>
                <w:szCs w:val="18"/>
              </w:rPr>
            </w:pPr>
            <w:r>
              <w:rPr>
                <w:rFonts w:hint="eastAsia" w:ascii="宋体" w:hAnsi="宋体" w:cs="宋体"/>
                <w:kern w:val="0"/>
                <w:sz w:val="18"/>
                <w:szCs w:val="18"/>
              </w:rPr>
              <w:t>　</w:t>
            </w:r>
          </w:p>
        </w:tc>
      </w:tr>
      <w:tr w14:paraId="2009F386">
        <w:tblPrEx>
          <w:tblCellMar>
            <w:top w:w="0" w:type="dxa"/>
            <w:left w:w="108" w:type="dxa"/>
            <w:bottom w:w="0" w:type="dxa"/>
            <w:right w:w="108" w:type="dxa"/>
          </w:tblCellMar>
        </w:tblPrEx>
        <w:trPr>
          <w:trHeight w:val="439" w:hRule="atLeast"/>
        </w:trPr>
        <w:tc>
          <w:tcPr>
            <w:tcW w:w="2460" w:type="dxa"/>
            <w:gridSpan w:val="3"/>
            <w:vMerge w:val="continue"/>
            <w:tcBorders>
              <w:top w:val="single" w:color="auto" w:sz="4" w:space="0"/>
              <w:left w:val="single" w:color="auto" w:sz="4" w:space="0"/>
              <w:bottom w:val="single" w:color="auto" w:sz="4" w:space="0"/>
              <w:right w:val="single" w:color="auto" w:sz="4" w:space="0"/>
            </w:tcBorders>
            <w:vAlign w:val="center"/>
          </w:tcPr>
          <w:p w14:paraId="3948388A">
            <w:pPr>
              <w:widowControl/>
              <w:jc w:val="left"/>
              <w:rPr>
                <w:rFonts w:ascii="宋体" w:hAnsi="宋体" w:cs="宋体"/>
                <w:kern w:val="0"/>
                <w:sz w:val="18"/>
                <w:szCs w:val="18"/>
              </w:rPr>
            </w:pPr>
          </w:p>
        </w:tc>
        <w:tc>
          <w:tcPr>
            <w:tcW w:w="2020" w:type="dxa"/>
            <w:tcBorders>
              <w:top w:val="nil"/>
              <w:left w:val="nil"/>
              <w:bottom w:val="single" w:color="auto" w:sz="4" w:space="0"/>
              <w:right w:val="single" w:color="auto" w:sz="4" w:space="0"/>
            </w:tcBorders>
            <w:shd w:val="clear" w:color="auto" w:fill="auto"/>
            <w:vAlign w:val="center"/>
          </w:tcPr>
          <w:p w14:paraId="17CB7186">
            <w:pPr>
              <w:widowControl/>
              <w:jc w:val="left"/>
              <w:rPr>
                <w:rFonts w:ascii="宋体" w:hAnsi="宋体" w:cs="宋体"/>
                <w:kern w:val="0"/>
                <w:sz w:val="18"/>
                <w:szCs w:val="18"/>
              </w:rPr>
            </w:pPr>
            <w:r>
              <w:rPr>
                <w:rFonts w:hint="eastAsia" w:ascii="宋体" w:hAnsi="宋体" w:cs="宋体"/>
                <w:kern w:val="0"/>
                <w:sz w:val="18"/>
                <w:szCs w:val="18"/>
              </w:rPr>
              <w:t xml:space="preserve">             其他资金</w:t>
            </w:r>
          </w:p>
        </w:tc>
        <w:tc>
          <w:tcPr>
            <w:tcW w:w="2280" w:type="dxa"/>
            <w:tcBorders>
              <w:top w:val="nil"/>
              <w:left w:val="nil"/>
              <w:bottom w:val="single" w:color="auto" w:sz="4" w:space="0"/>
              <w:right w:val="single" w:color="auto" w:sz="4" w:space="0"/>
            </w:tcBorders>
            <w:shd w:val="clear" w:color="auto" w:fill="auto"/>
            <w:vAlign w:val="center"/>
          </w:tcPr>
          <w:p w14:paraId="467FF58C">
            <w:pPr>
              <w:widowControl/>
              <w:jc w:val="left"/>
              <w:rPr>
                <w:rFonts w:ascii="宋体" w:hAnsi="宋体" w:cs="宋体"/>
                <w:kern w:val="0"/>
                <w:sz w:val="18"/>
                <w:szCs w:val="18"/>
              </w:rPr>
            </w:pPr>
            <w:r>
              <w:rPr>
                <w:rFonts w:hint="eastAsia" w:ascii="宋体" w:hAnsi="宋体" w:cs="宋体"/>
                <w:kern w:val="0"/>
                <w:sz w:val="18"/>
                <w:szCs w:val="18"/>
              </w:rPr>
              <w:t>　</w:t>
            </w:r>
          </w:p>
        </w:tc>
        <w:tc>
          <w:tcPr>
            <w:tcW w:w="1300" w:type="dxa"/>
            <w:tcBorders>
              <w:top w:val="nil"/>
              <w:left w:val="nil"/>
              <w:bottom w:val="single" w:color="auto" w:sz="4" w:space="0"/>
              <w:right w:val="single" w:color="auto" w:sz="4" w:space="0"/>
            </w:tcBorders>
            <w:shd w:val="clear" w:color="auto" w:fill="auto"/>
            <w:vAlign w:val="center"/>
          </w:tcPr>
          <w:p w14:paraId="4ED577F3">
            <w:pPr>
              <w:widowControl/>
              <w:jc w:val="left"/>
              <w:rPr>
                <w:rFonts w:ascii="宋体" w:hAnsi="宋体" w:cs="宋体"/>
                <w:kern w:val="0"/>
                <w:sz w:val="18"/>
                <w:szCs w:val="18"/>
              </w:rPr>
            </w:pPr>
            <w:r>
              <w:rPr>
                <w:rFonts w:hint="eastAsia" w:ascii="宋体" w:hAnsi="宋体" w:cs="宋体"/>
                <w:kern w:val="0"/>
                <w:sz w:val="18"/>
                <w:szCs w:val="18"/>
              </w:rPr>
              <w:t>　</w:t>
            </w:r>
          </w:p>
        </w:tc>
        <w:tc>
          <w:tcPr>
            <w:tcW w:w="1860" w:type="dxa"/>
            <w:gridSpan w:val="2"/>
            <w:tcBorders>
              <w:top w:val="single" w:color="auto" w:sz="4" w:space="0"/>
              <w:left w:val="nil"/>
              <w:bottom w:val="single" w:color="auto" w:sz="4" w:space="0"/>
              <w:right w:val="single" w:color="000000" w:sz="4" w:space="0"/>
            </w:tcBorders>
            <w:shd w:val="clear" w:color="auto" w:fill="auto"/>
            <w:vAlign w:val="center"/>
          </w:tcPr>
          <w:p w14:paraId="05D2F082">
            <w:pPr>
              <w:widowControl/>
              <w:jc w:val="center"/>
              <w:rPr>
                <w:rFonts w:ascii="宋体" w:hAnsi="宋体" w:cs="宋体"/>
                <w:kern w:val="0"/>
                <w:sz w:val="18"/>
                <w:szCs w:val="18"/>
              </w:rPr>
            </w:pPr>
            <w:r>
              <w:rPr>
                <w:rFonts w:hint="eastAsia" w:ascii="宋体" w:hAnsi="宋体" w:cs="宋体"/>
                <w:kern w:val="0"/>
                <w:sz w:val="18"/>
                <w:szCs w:val="18"/>
              </w:rPr>
              <w:t>　</w:t>
            </w:r>
          </w:p>
        </w:tc>
      </w:tr>
      <w:tr w14:paraId="0D7D60F1">
        <w:tblPrEx>
          <w:tblCellMar>
            <w:top w:w="0" w:type="dxa"/>
            <w:left w:w="108" w:type="dxa"/>
            <w:bottom w:w="0" w:type="dxa"/>
            <w:right w:w="108" w:type="dxa"/>
          </w:tblCellMar>
        </w:tblPrEx>
        <w:trPr>
          <w:trHeight w:val="439"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65293147">
            <w:pPr>
              <w:widowControl/>
              <w:jc w:val="center"/>
              <w:rPr>
                <w:rFonts w:ascii="宋体" w:hAnsi="宋体" w:cs="宋体"/>
                <w:kern w:val="0"/>
                <w:sz w:val="18"/>
                <w:szCs w:val="18"/>
              </w:rPr>
            </w:pPr>
            <w:r>
              <w:rPr>
                <w:rFonts w:hint="eastAsia" w:ascii="宋体" w:hAnsi="宋体" w:cs="宋体"/>
                <w:kern w:val="0"/>
                <w:sz w:val="18"/>
                <w:szCs w:val="18"/>
              </w:rPr>
              <w:t>总</w:t>
            </w:r>
            <w:r>
              <w:rPr>
                <w:rFonts w:hint="eastAsia" w:ascii="宋体" w:hAnsi="宋体" w:cs="宋体"/>
                <w:kern w:val="0"/>
                <w:sz w:val="18"/>
                <w:szCs w:val="18"/>
              </w:rPr>
              <w:br w:type="textWrapping"/>
            </w:r>
            <w:r>
              <w:rPr>
                <w:rFonts w:hint="eastAsia" w:ascii="宋体" w:hAnsi="宋体" w:cs="宋体"/>
                <w:kern w:val="0"/>
                <w:sz w:val="18"/>
                <w:szCs w:val="18"/>
              </w:rPr>
              <w:t>体</w:t>
            </w:r>
            <w:r>
              <w:rPr>
                <w:rFonts w:hint="eastAsia" w:ascii="宋体" w:hAnsi="宋体" w:cs="宋体"/>
                <w:kern w:val="0"/>
                <w:sz w:val="18"/>
                <w:szCs w:val="18"/>
              </w:rPr>
              <w:br w:type="textWrapping"/>
            </w:r>
            <w:r>
              <w:rPr>
                <w:rFonts w:hint="eastAsia" w:ascii="宋体" w:hAnsi="宋体" w:cs="宋体"/>
                <w:kern w:val="0"/>
                <w:sz w:val="18"/>
                <w:szCs w:val="18"/>
              </w:rPr>
              <w:t>目</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3740" w:type="dxa"/>
            <w:gridSpan w:val="3"/>
            <w:tcBorders>
              <w:top w:val="single" w:color="auto" w:sz="4" w:space="0"/>
              <w:left w:val="nil"/>
              <w:bottom w:val="single" w:color="auto" w:sz="4" w:space="0"/>
              <w:right w:val="single" w:color="auto" w:sz="4" w:space="0"/>
            </w:tcBorders>
            <w:shd w:val="clear" w:color="auto" w:fill="auto"/>
            <w:vAlign w:val="center"/>
          </w:tcPr>
          <w:p w14:paraId="3D198C37">
            <w:pPr>
              <w:widowControl/>
              <w:jc w:val="center"/>
              <w:rPr>
                <w:rFonts w:ascii="宋体" w:hAnsi="宋体" w:cs="宋体"/>
                <w:kern w:val="0"/>
                <w:sz w:val="18"/>
                <w:szCs w:val="18"/>
              </w:rPr>
            </w:pPr>
            <w:r>
              <w:rPr>
                <w:rFonts w:hint="eastAsia" w:ascii="宋体" w:hAnsi="宋体" w:cs="宋体"/>
                <w:kern w:val="0"/>
                <w:sz w:val="18"/>
                <w:szCs w:val="18"/>
              </w:rPr>
              <w:t>年度设定目标</w:t>
            </w:r>
          </w:p>
        </w:tc>
        <w:tc>
          <w:tcPr>
            <w:tcW w:w="5440" w:type="dxa"/>
            <w:gridSpan w:val="4"/>
            <w:tcBorders>
              <w:top w:val="single" w:color="auto" w:sz="4" w:space="0"/>
              <w:left w:val="nil"/>
              <w:bottom w:val="single" w:color="auto" w:sz="4" w:space="0"/>
              <w:right w:val="single" w:color="auto" w:sz="4" w:space="0"/>
            </w:tcBorders>
            <w:shd w:val="clear" w:color="auto" w:fill="auto"/>
            <w:vAlign w:val="center"/>
          </w:tcPr>
          <w:p w14:paraId="340BAD2C">
            <w:pPr>
              <w:widowControl/>
              <w:jc w:val="center"/>
              <w:rPr>
                <w:rFonts w:ascii="宋体" w:hAnsi="宋体" w:cs="宋体"/>
                <w:kern w:val="0"/>
                <w:sz w:val="18"/>
                <w:szCs w:val="18"/>
              </w:rPr>
            </w:pPr>
            <w:r>
              <w:rPr>
                <w:rFonts w:hint="eastAsia" w:ascii="宋体" w:hAnsi="宋体" w:cs="宋体"/>
                <w:kern w:val="0"/>
                <w:sz w:val="18"/>
                <w:szCs w:val="18"/>
              </w:rPr>
              <w:t>实际完成情况</w:t>
            </w:r>
          </w:p>
        </w:tc>
      </w:tr>
      <w:tr w14:paraId="5A439A83">
        <w:tblPrEx>
          <w:tblCellMar>
            <w:top w:w="0" w:type="dxa"/>
            <w:left w:w="108" w:type="dxa"/>
            <w:bottom w:w="0" w:type="dxa"/>
            <w:right w:w="108" w:type="dxa"/>
          </w:tblCellMar>
        </w:tblPrEx>
        <w:trPr>
          <w:trHeight w:val="885" w:hRule="atLeast"/>
        </w:trPr>
        <w:tc>
          <w:tcPr>
            <w:tcW w:w="740" w:type="dxa"/>
            <w:vMerge w:val="continue"/>
            <w:tcBorders>
              <w:top w:val="nil"/>
              <w:left w:val="single" w:color="auto" w:sz="4" w:space="0"/>
              <w:bottom w:val="single" w:color="auto" w:sz="4" w:space="0"/>
              <w:right w:val="single" w:color="auto" w:sz="4" w:space="0"/>
            </w:tcBorders>
            <w:vAlign w:val="center"/>
          </w:tcPr>
          <w:p w14:paraId="3E0BA8F3">
            <w:pPr>
              <w:widowControl/>
              <w:jc w:val="left"/>
              <w:rPr>
                <w:rFonts w:ascii="宋体" w:hAnsi="宋体" w:cs="宋体"/>
                <w:kern w:val="0"/>
                <w:sz w:val="18"/>
                <w:szCs w:val="18"/>
              </w:rPr>
            </w:pPr>
          </w:p>
        </w:tc>
        <w:tc>
          <w:tcPr>
            <w:tcW w:w="3740" w:type="dxa"/>
            <w:gridSpan w:val="3"/>
            <w:tcBorders>
              <w:top w:val="single" w:color="auto" w:sz="4" w:space="0"/>
              <w:left w:val="nil"/>
              <w:bottom w:val="single" w:color="auto" w:sz="4" w:space="0"/>
              <w:right w:val="single" w:color="000000" w:sz="4" w:space="0"/>
            </w:tcBorders>
            <w:shd w:val="clear" w:color="auto" w:fill="auto"/>
            <w:vAlign w:val="center"/>
          </w:tcPr>
          <w:p w14:paraId="5997FBFF">
            <w:pPr>
              <w:widowControl/>
              <w:jc w:val="center"/>
              <w:rPr>
                <w:rFonts w:ascii="宋体" w:hAnsi="宋体" w:cs="宋体"/>
                <w:kern w:val="0"/>
                <w:sz w:val="18"/>
                <w:szCs w:val="18"/>
              </w:rPr>
            </w:pPr>
            <w:r>
              <w:rPr>
                <w:rFonts w:hint="eastAsia" w:ascii="宋体" w:hAnsi="宋体" w:cs="宋体"/>
                <w:kern w:val="0"/>
                <w:sz w:val="18"/>
                <w:szCs w:val="18"/>
              </w:rPr>
              <w:t xml:space="preserve">    加强我市工业项目储备、政策研究，提升工业、技术改造管理水平。</w:t>
            </w:r>
          </w:p>
        </w:tc>
        <w:tc>
          <w:tcPr>
            <w:tcW w:w="5440" w:type="dxa"/>
            <w:gridSpan w:val="4"/>
            <w:tcBorders>
              <w:top w:val="single" w:color="auto" w:sz="4" w:space="0"/>
              <w:left w:val="nil"/>
              <w:bottom w:val="single" w:color="auto" w:sz="4" w:space="0"/>
              <w:right w:val="single" w:color="000000" w:sz="4" w:space="0"/>
            </w:tcBorders>
            <w:shd w:val="clear" w:color="auto" w:fill="auto"/>
            <w:vAlign w:val="center"/>
          </w:tcPr>
          <w:p w14:paraId="5CFB9CCB">
            <w:pPr>
              <w:widowControl/>
              <w:jc w:val="center"/>
              <w:rPr>
                <w:rFonts w:ascii="宋体" w:hAnsi="宋体" w:cs="宋体"/>
                <w:kern w:val="0"/>
                <w:sz w:val="18"/>
                <w:szCs w:val="18"/>
              </w:rPr>
            </w:pPr>
            <w:r>
              <w:rPr>
                <w:rFonts w:hint="eastAsia" w:ascii="宋体" w:hAnsi="宋体" w:cs="宋体"/>
                <w:kern w:val="0"/>
                <w:sz w:val="18"/>
                <w:szCs w:val="18"/>
              </w:rPr>
              <w:t xml:space="preserve">    此项资金主要用于项目储备、产业诊断、项目生成等前期工作经费，加强了我市工业项目储备、政策研究，提升了工业、技术改造管理水平。</w:t>
            </w:r>
          </w:p>
        </w:tc>
      </w:tr>
      <w:tr w14:paraId="08F142A9">
        <w:tblPrEx>
          <w:tblCellMar>
            <w:top w:w="0" w:type="dxa"/>
            <w:left w:w="108" w:type="dxa"/>
            <w:bottom w:w="0" w:type="dxa"/>
            <w:right w:w="108" w:type="dxa"/>
          </w:tblCellMar>
        </w:tblPrEx>
        <w:trPr>
          <w:trHeight w:val="795"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58229480">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740" w:type="dxa"/>
            <w:tcBorders>
              <w:top w:val="nil"/>
              <w:left w:val="nil"/>
              <w:bottom w:val="single" w:color="auto" w:sz="4" w:space="0"/>
              <w:right w:val="single" w:color="auto" w:sz="4" w:space="0"/>
            </w:tcBorders>
            <w:shd w:val="clear" w:color="auto" w:fill="auto"/>
            <w:vAlign w:val="center"/>
          </w:tcPr>
          <w:p w14:paraId="0C43CE42">
            <w:pPr>
              <w:widowControl/>
              <w:jc w:val="center"/>
              <w:rPr>
                <w:rFonts w:ascii="宋体" w:hAnsi="宋体" w:cs="宋体"/>
                <w:kern w:val="0"/>
                <w:sz w:val="18"/>
                <w:szCs w:val="18"/>
              </w:rPr>
            </w:pPr>
            <w:r>
              <w:rPr>
                <w:rFonts w:hint="eastAsia" w:ascii="宋体" w:hAnsi="宋体" w:cs="宋体"/>
                <w:kern w:val="0"/>
                <w:sz w:val="18"/>
                <w:szCs w:val="18"/>
              </w:rPr>
              <w:t>一级</w:t>
            </w:r>
            <w:r>
              <w:rPr>
                <w:rFonts w:hint="eastAsia" w:ascii="宋体" w:hAnsi="宋体" w:cs="宋体"/>
                <w:kern w:val="0"/>
                <w:sz w:val="18"/>
                <w:szCs w:val="18"/>
              </w:rPr>
              <w:br w:type="textWrapping"/>
            </w:r>
            <w:r>
              <w:rPr>
                <w:rFonts w:hint="eastAsia" w:ascii="宋体" w:hAnsi="宋体" w:cs="宋体"/>
                <w:kern w:val="0"/>
                <w:sz w:val="18"/>
                <w:szCs w:val="18"/>
              </w:rPr>
              <w:t>指标</w:t>
            </w:r>
          </w:p>
        </w:tc>
        <w:tc>
          <w:tcPr>
            <w:tcW w:w="980" w:type="dxa"/>
            <w:tcBorders>
              <w:top w:val="nil"/>
              <w:left w:val="nil"/>
              <w:bottom w:val="single" w:color="auto" w:sz="4" w:space="0"/>
              <w:right w:val="single" w:color="auto" w:sz="4" w:space="0"/>
            </w:tcBorders>
            <w:shd w:val="clear" w:color="auto" w:fill="auto"/>
            <w:vAlign w:val="center"/>
          </w:tcPr>
          <w:p w14:paraId="32668BD1">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020" w:type="dxa"/>
            <w:tcBorders>
              <w:top w:val="nil"/>
              <w:left w:val="nil"/>
              <w:bottom w:val="single" w:color="auto" w:sz="4" w:space="0"/>
              <w:right w:val="single" w:color="auto" w:sz="4" w:space="0"/>
            </w:tcBorders>
            <w:shd w:val="clear" w:color="auto" w:fill="auto"/>
            <w:vAlign w:val="center"/>
          </w:tcPr>
          <w:p w14:paraId="6276125D">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2280" w:type="dxa"/>
            <w:tcBorders>
              <w:top w:val="nil"/>
              <w:left w:val="nil"/>
              <w:bottom w:val="single" w:color="auto" w:sz="4" w:space="0"/>
              <w:right w:val="single" w:color="auto" w:sz="4" w:space="0"/>
            </w:tcBorders>
            <w:shd w:val="clear" w:color="auto" w:fill="auto"/>
            <w:vAlign w:val="center"/>
          </w:tcPr>
          <w:p w14:paraId="67282DC5">
            <w:pPr>
              <w:widowControl/>
              <w:jc w:val="center"/>
              <w:rPr>
                <w:rFonts w:ascii="宋体" w:hAnsi="宋体" w:cs="宋体"/>
                <w:kern w:val="0"/>
                <w:sz w:val="18"/>
                <w:szCs w:val="18"/>
              </w:rPr>
            </w:pPr>
            <w:r>
              <w:rPr>
                <w:rFonts w:hint="eastAsia" w:ascii="宋体" w:hAnsi="宋体" w:cs="宋体"/>
                <w:kern w:val="0"/>
                <w:sz w:val="18"/>
                <w:szCs w:val="18"/>
              </w:rPr>
              <w:t>年度指标值</w:t>
            </w:r>
          </w:p>
        </w:tc>
        <w:tc>
          <w:tcPr>
            <w:tcW w:w="1300" w:type="dxa"/>
            <w:tcBorders>
              <w:top w:val="nil"/>
              <w:left w:val="nil"/>
              <w:bottom w:val="single" w:color="auto" w:sz="4" w:space="0"/>
              <w:right w:val="single" w:color="auto" w:sz="4" w:space="0"/>
            </w:tcBorders>
            <w:shd w:val="clear" w:color="auto" w:fill="auto"/>
            <w:vAlign w:val="center"/>
          </w:tcPr>
          <w:p w14:paraId="43922781">
            <w:pPr>
              <w:widowControl/>
              <w:jc w:val="center"/>
              <w:rPr>
                <w:rFonts w:ascii="宋体" w:hAnsi="宋体" w:cs="宋体"/>
                <w:kern w:val="0"/>
                <w:sz w:val="18"/>
                <w:szCs w:val="18"/>
              </w:rPr>
            </w:pPr>
            <w:r>
              <w:rPr>
                <w:rFonts w:hint="eastAsia" w:ascii="宋体" w:hAnsi="宋体" w:cs="宋体"/>
                <w:kern w:val="0"/>
                <w:sz w:val="18"/>
                <w:szCs w:val="18"/>
              </w:rPr>
              <w:t>实际完成数</w:t>
            </w:r>
          </w:p>
        </w:tc>
        <w:tc>
          <w:tcPr>
            <w:tcW w:w="900" w:type="dxa"/>
            <w:tcBorders>
              <w:top w:val="nil"/>
              <w:left w:val="nil"/>
              <w:bottom w:val="single" w:color="auto" w:sz="4" w:space="0"/>
              <w:right w:val="single" w:color="auto" w:sz="4" w:space="0"/>
            </w:tcBorders>
            <w:shd w:val="clear" w:color="auto" w:fill="auto"/>
            <w:vAlign w:val="center"/>
          </w:tcPr>
          <w:p w14:paraId="26B5832B">
            <w:pPr>
              <w:widowControl/>
              <w:jc w:val="center"/>
              <w:rPr>
                <w:rFonts w:ascii="宋体" w:hAnsi="宋体" w:cs="宋体"/>
                <w:kern w:val="0"/>
                <w:sz w:val="18"/>
                <w:szCs w:val="18"/>
              </w:rPr>
            </w:pPr>
            <w:r>
              <w:rPr>
                <w:rFonts w:hint="eastAsia" w:ascii="宋体" w:hAnsi="宋体" w:cs="宋体"/>
                <w:kern w:val="0"/>
                <w:sz w:val="18"/>
                <w:szCs w:val="18"/>
              </w:rPr>
              <w:t>完成率（%）</w:t>
            </w:r>
          </w:p>
        </w:tc>
        <w:tc>
          <w:tcPr>
            <w:tcW w:w="960" w:type="dxa"/>
            <w:tcBorders>
              <w:top w:val="nil"/>
              <w:left w:val="nil"/>
              <w:bottom w:val="single" w:color="auto" w:sz="4" w:space="0"/>
              <w:right w:val="single" w:color="auto" w:sz="4" w:space="0"/>
            </w:tcBorders>
            <w:shd w:val="clear" w:color="auto" w:fill="auto"/>
            <w:vAlign w:val="center"/>
          </w:tcPr>
          <w:p w14:paraId="6A17F0AC">
            <w:pPr>
              <w:widowControl/>
              <w:jc w:val="left"/>
              <w:rPr>
                <w:rFonts w:ascii="宋体" w:hAnsi="宋体" w:cs="宋体"/>
                <w:kern w:val="0"/>
                <w:sz w:val="18"/>
                <w:szCs w:val="18"/>
              </w:rPr>
            </w:pPr>
            <w:r>
              <w:rPr>
                <w:rFonts w:hint="eastAsia" w:ascii="宋体" w:hAnsi="宋体" w:cs="宋体"/>
                <w:kern w:val="0"/>
                <w:sz w:val="18"/>
                <w:szCs w:val="18"/>
              </w:rPr>
              <w:t>未完成原因和改进措施</w:t>
            </w:r>
          </w:p>
        </w:tc>
      </w:tr>
      <w:tr w14:paraId="7FDB10BF">
        <w:tblPrEx>
          <w:tblCellMar>
            <w:top w:w="0" w:type="dxa"/>
            <w:left w:w="108" w:type="dxa"/>
            <w:bottom w:w="0" w:type="dxa"/>
            <w:right w:w="108" w:type="dxa"/>
          </w:tblCellMar>
        </w:tblPrEx>
        <w:trPr>
          <w:trHeight w:val="675" w:hRule="atLeast"/>
        </w:trPr>
        <w:tc>
          <w:tcPr>
            <w:tcW w:w="740" w:type="dxa"/>
            <w:vMerge w:val="continue"/>
            <w:tcBorders>
              <w:top w:val="nil"/>
              <w:left w:val="single" w:color="auto" w:sz="4" w:space="0"/>
              <w:bottom w:val="single" w:color="auto" w:sz="4" w:space="0"/>
              <w:right w:val="single" w:color="auto" w:sz="4" w:space="0"/>
            </w:tcBorders>
            <w:vAlign w:val="center"/>
          </w:tcPr>
          <w:p w14:paraId="3C45A480">
            <w:pPr>
              <w:widowControl/>
              <w:jc w:val="left"/>
              <w:rPr>
                <w:rFonts w:ascii="宋体" w:hAnsi="宋体" w:cs="宋体"/>
                <w:kern w:val="0"/>
                <w:sz w:val="18"/>
                <w:szCs w:val="18"/>
              </w:rPr>
            </w:pP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2BCE52A2">
            <w:pPr>
              <w:widowControl/>
              <w:jc w:val="center"/>
              <w:rPr>
                <w:rFonts w:ascii="宋体" w:hAnsi="宋体" w:cs="宋体"/>
                <w:kern w:val="0"/>
                <w:sz w:val="18"/>
                <w:szCs w:val="18"/>
              </w:rPr>
            </w:pPr>
            <w:r>
              <w:rPr>
                <w:rFonts w:hint="eastAsia" w:ascii="宋体" w:hAnsi="宋体" w:cs="宋体"/>
                <w:kern w:val="0"/>
                <w:sz w:val="18"/>
                <w:szCs w:val="18"/>
              </w:rPr>
              <w:t>项目完成</w:t>
            </w:r>
          </w:p>
        </w:tc>
        <w:tc>
          <w:tcPr>
            <w:tcW w:w="980" w:type="dxa"/>
            <w:tcBorders>
              <w:top w:val="nil"/>
              <w:left w:val="nil"/>
              <w:bottom w:val="single" w:color="auto" w:sz="4" w:space="0"/>
              <w:right w:val="single" w:color="auto" w:sz="4" w:space="0"/>
            </w:tcBorders>
            <w:shd w:val="clear" w:color="auto" w:fill="auto"/>
            <w:vAlign w:val="center"/>
          </w:tcPr>
          <w:p w14:paraId="6CBEAC30">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020" w:type="dxa"/>
            <w:tcBorders>
              <w:top w:val="nil"/>
              <w:left w:val="nil"/>
              <w:bottom w:val="nil"/>
              <w:right w:val="single" w:color="auto" w:sz="4" w:space="0"/>
            </w:tcBorders>
            <w:shd w:val="clear" w:color="auto" w:fill="auto"/>
            <w:vAlign w:val="center"/>
          </w:tcPr>
          <w:p w14:paraId="4F66CEFD">
            <w:pPr>
              <w:widowControl/>
              <w:jc w:val="left"/>
              <w:rPr>
                <w:rFonts w:ascii="宋体" w:hAnsi="宋体" w:cs="宋体"/>
                <w:kern w:val="0"/>
                <w:sz w:val="18"/>
                <w:szCs w:val="18"/>
              </w:rPr>
            </w:pPr>
            <w:r>
              <w:rPr>
                <w:rFonts w:hint="eastAsia" w:ascii="宋体" w:hAnsi="宋体" w:cs="宋体"/>
                <w:kern w:val="0"/>
                <w:sz w:val="18"/>
                <w:szCs w:val="18"/>
              </w:rPr>
              <w:t>按照川财建（2020）35号文件，管理和使用好省级技术改造前期费</w:t>
            </w:r>
          </w:p>
        </w:tc>
        <w:tc>
          <w:tcPr>
            <w:tcW w:w="2280" w:type="dxa"/>
            <w:tcBorders>
              <w:top w:val="nil"/>
              <w:left w:val="nil"/>
              <w:bottom w:val="single" w:color="auto" w:sz="4" w:space="0"/>
              <w:right w:val="single" w:color="auto" w:sz="4" w:space="0"/>
            </w:tcBorders>
            <w:shd w:val="clear" w:color="auto" w:fill="auto"/>
            <w:vAlign w:val="center"/>
          </w:tcPr>
          <w:p w14:paraId="640C9264">
            <w:pPr>
              <w:widowControl/>
              <w:jc w:val="left"/>
              <w:rPr>
                <w:rFonts w:ascii="宋体" w:hAnsi="宋体" w:cs="宋体"/>
                <w:kern w:val="0"/>
                <w:sz w:val="18"/>
                <w:szCs w:val="18"/>
              </w:rPr>
            </w:pPr>
            <w:r>
              <w:rPr>
                <w:rFonts w:hint="eastAsia" w:ascii="宋体" w:hAnsi="宋体" w:cs="宋体"/>
                <w:kern w:val="0"/>
                <w:sz w:val="18"/>
                <w:szCs w:val="18"/>
              </w:rPr>
              <w:t>专项用于2021年度我市工业和信息化项目调研、咨询、规划、组织、开工等</w:t>
            </w:r>
          </w:p>
        </w:tc>
        <w:tc>
          <w:tcPr>
            <w:tcW w:w="1300" w:type="dxa"/>
            <w:tcBorders>
              <w:top w:val="nil"/>
              <w:left w:val="nil"/>
              <w:bottom w:val="single" w:color="auto" w:sz="4" w:space="0"/>
              <w:right w:val="single" w:color="auto" w:sz="4" w:space="0"/>
            </w:tcBorders>
            <w:shd w:val="clear" w:color="auto" w:fill="auto"/>
            <w:vAlign w:val="center"/>
          </w:tcPr>
          <w:p w14:paraId="7819B14F">
            <w:pPr>
              <w:widowControl/>
              <w:jc w:val="center"/>
              <w:rPr>
                <w:rFonts w:ascii="宋体" w:hAnsi="宋体" w:cs="宋体"/>
                <w:kern w:val="0"/>
                <w:sz w:val="18"/>
                <w:szCs w:val="18"/>
              </w:rPr>
            </w:pPr>
            <w:r>
              <w:rPr>
                <w:rFonts w:hint="eastAsia" w:ascii="宋体" w:hAnsi="宋体" w:cs="宋体"/>
                <w:kern w:val="0"/>
                <w:sz w:val="18"/>
                <w:szCs w:val="18"/>
              </w:rPr>
              <w:t>已完成</w:t>
            </w:r>
          </w:p>
        </w:tc>
        <w:tc>
          <w:tcPr>
            <w:tcW w:w="900" w:type="dxa"/>
            <w:tcBorders>
              <w:top w:val="nil"/>
              <w:left w:val="nil"/>
              <w:bottom w:val="single" w:color="auto" w:sz="4" w:space="0"/>
              <w:right w:val="single" w:color="auto" w:sz="4" w:space="0"/>
            </w:tcBorders>
            <w:shd w:val="clear" w:color="auto" w:fill="auto"/>
            <w:vAlign w:val="center"/>
          </w:tcPr>
          <w:p w14:paraId="690E6CAA">
            <w:pPr>
              <w:widowControl/>
              <w:jc w:val="center"/>
              <w:rPr>
                <w:rFonts w:ascii="宋体" w:hAnsi="宋体" w:cs="宋体"/>
                <w:kern w:val="0"/>
                <w:sz w:val="18"/>
                <w:szCs w:val="18"/>
              </w:rPr>
            </w:pPr>
            <w:r>
              <w:rPr>
                <w:rFonts w:hint="eastAsia" w:ascii="宋体" w:hAnsi="宋体" w:cs="宋体"/>
                <w:kern w:val="0"/>
                <w:sz w:val="18"/>
                <w:szCs w:val="18"/>
              </w:rPr>
              <w:t>100%</w:t>
            </w:r>
          </w:p>
        </w:tc>
        <w:tc>
          <w:tcPr>
            <w:tcW w:w="960" w:type="dxa"/>
            <w:tcBorders>
              <w:top w:val="nil"/>
              <w:left w:val="nil"/>
              <w:bottom w:val="single" w:color="auto" w:sz="4" w:space="0"/>
              <w:right w:val="single" w:color="auto" w:sz="4" w:space="0"/>
            </w:tcBorders>
            <w:shd w:val="clear" w:color="auto" w:fill="auto"/>
            <w:vAlign w:val="center"/>
          </w:tcPr>
          <w:p w14:paraId="4A480F89">
            <w:pPr>
              <w:widowControl/>
              <w:jc w:val="left"/>
              <w:rPr>
                <w:rFonts w:ascii="宋体" w:hAnsi="宋体" w:cs="宋体"/>
                <w:kern w:val="0"/>
                <w:sz w:val="18"/>
                <w:szCs w:val="18"/>
              </w:rPr>
            </w:pPr>
            <w:r>
              <w:rPr>
                <w:rFonts w:hint="eastAsia" w:ascii="宋体" w:hAnsi="宋体" w:cs="宋体"/>
                <w:kern w:val="0"/>
                <w:sz w:val="18"/>
                <w:szCs w:val="18"/>
              </w:rPr>
              <w:t>　</w:t>
            </w:r>
          </w:p>
        </w:tc>
      </w:tr>
      <w:tr w14:paraId="5E3E3B9F">
        <w:tblPrEx>
          <w:tblCellMar>
            <w:top w:w="0" w:type="dxa"/>
            <w:left w:w="108" w:type="dxa"/>
            <w:bottom w:w="0" w:type="dxa"/>
            <w:right w:w="108" w:type="dxa"/>
          </w:tblCellMar>
        </w:tblPrEx>
        <w:trPr>
          <w:trHeight w:val="450" w:hRule="atLeast"/>
        </w:trPr>
        <w:tc>
          <w:tcPr>
            <w:tcW w:w="740" w:type="dxa"/>
            <w:vMerge w:val="continue"/>
            <w:tcBorders>
              <w:top w:val="nil"/>
              <w:left w:val="single" w:color="auto" w:sz="4" w:space="0"/>
              <w:bottom w:val="single" w:color="auto" w:sz="4" w:space="0"/>
              <w:right w:val="single" w:color="auto" w:sz="4" w:space="0"/>
            </w:tcBorders>
            <w:vAlign w:val="center"/>
          </w:tcPr>
          <w:p w14:paraId="7E15274F">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3F5765DF">
            <w:pPr>
              <w:widowControl/>
              <w:jc w:val="left"/>
              <w:rPr>
                <w:rFonts w:ascii="宋体" w:hAnsi="宋体" w:cs="宋体"/>
                <w:kern w:val="0"/>
                <w:sz w:val="18"/>
                <w:szCs w:val="18"/>
              </w:rPr>
            </w:pPr>
          </w:p>
        </w:tc>
        <w:tc>
          <w:tcPr>
            <w:tcW w:w="980" w:type="dxa"/>
            <w:tcBorders>
              <w:top w:val="nil"/>
              <w:left w:val="nil"/>
              <w:bottom w:val="single" w:color="auto" w:sz="4" w:space="0"/>
              <w:right w:val="single" w:color="auto" w:sz="4" w:space="0"/>
            </w:tcBorders>
            <w:shd w:val="clear" w:color="auto" w:fill="auto"/>
            <w:vAlign w:val="center"/>
          </w:tcPr>
          <w:p w14:paraId="420D0DFD">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020" w:type="dxa"/>
            <w:tcBorders>
              <w:top w:val="single" w:color="auto" w:sz="4" w:space="0"/>
              <w:left w:val="nil"/>
              <w:bottom w:val="nil"/>
              <w:right w:val="single" w:color="auto" w:sz="4" w:space="0"/>
            </w:tcBorders>
            <w:shd w:val="clear" w:color="auto" w:fill="auto"/>
            <w:vAlign w:val="center"/>
          </w:tcPr>
          <w:p w14:paraId="6C3E8504">
            <w:pPr>
              <w:widowControl/>
              <w:jc w:val="left"/>
              <w:rPr>
                <w:rFonts w:ascii="宋体" w:hAnsi="宋体" w:cs="宋体"/>
                <w:kern w:val="0"/>
                <w:sz w:val="18"/>
                <w:szCs w:val="18"/>
              </w:rPr>
            </w:pPr>
            <w:r>
              <w:rPr>
                <w:rFonts w:hint="eastAsia" w:ascii="宋体" w:hAnsi="宋体" w:cs="宋体"/>
                <w:kern w:val="0"/>
                <w:sz w:val="18"/>
                <w:szCs w:val="18"/>
              </w:rPr>
              <w:t>提升我市工业、技术改造管理水平</w:t>
            </w:r>
          </w:p>
        </w:tc>
        <w:tc>
          <w:tcPr>
            <w:tcW w:w="2280" w:type="dxa"/>
            <w:tcBorders>
              <w:top w:val="nil"/>
              <w:left w:val="nil"/>
              <w:bottom w:val="single" w:color="auto" w:sz="4" w:space="0"/>
              <w:right w:val="single" w:color="auto" w:sz="4" w:space="0"/>
            </w:tcBorders>
            <w:shd w:val="clear" w:color="auto" w:fill="auto"/>
            <w:vAlign w:val="center"/>
          </w:tcPr>
          <w:p w14:paraId="6C64C1E1">
            <w:pPr>
              <w:widowControl/>
              <w:jc w:val="left"/>
              <w:rPr>
                <w:rFonts w:ascii="宋体" w:hAnsi="宋体" w:cs="宋体"/>
                <w:kern w:val="0"/>
                <w:sz w:val="18"/>
                <w:szCs w:val="18"/>
              </w:rPr>
            </w:pPr>
            <w:r>
              <w:rPr>
                <w:rFonts w:hint="eastAsia" w:ascii="宋体" w:hAnsi="宋体" w:cs="宋体"/>
                <w:kern w:val="0"/>
                <w:sz w:val="18"/>
                <w:szCs w:val="18"/>
              </w:rPr>
              <w:t>用于工业技改、信息化项目前期工作经费。</w:t>
            </w:r>
          </w:p>
        </w:tc>
        <w:tc>
          <w:tcPr>
            <w:tcW w:w="1300" w:type="dxa"/>
            <w:tcBorders>
              <w:top w:val="nil"/>
              <w:left w:val="nil"/>
              <w:bottom w:val="single" w:color="auto" w:sz="4" w:space="0"/>
              <w:right w:val="single" w:color="auto" w:sz="4" w:space="0"/>
            </w:tcBorders>
            <w:shd w:val="clear" w:color="auto" w:fill="auto"/>
            <w:vAlign w:val="center"/>
          </w:tcPr>
          <w:p w14:paraId="3A54ABAD">
            <w:pPr>
              <w:widowControl/>
              <w:jc w:val="center"/>
              <w:rPr>
                <w:rFonts w:ascii="宋体" w:hAnsi="宋体" w:cs="宋体"/>
                <w:kern w:val="0"/>
                <w:sz w:val="18"/>
                <w:szCs w:val="18"/>
              </w:rPr>
            </w:pPr>
            <w:r>
              <w:rPr>
                <w:rFonts w:hint="eastAsia" w:ascii="宋体" w:hAnsi="宋体" w:cs="宋体"/>
                <w:kern w:val="0"/>
                <w:sz w:val="18"/>
                <w:szCs w:val="18"/>
              </w:rPr>
              <w:t>已完成</w:t>
            </w:r>
          </w:p>
        </w:tc>
        <w:tc>
          <w:tcPr>
            <w:tcW w:w="900" w:type="dxa"/>
            <w:tcBorders>
              <w:top w:val="nil"/>
              <w:left w:val="nil"/>
              <w:bottom w:val="single" w:color="auto" w:sz="4" w:space="0"/>
              <w:right w:val="single" w:color="auto" w:sz="4" w:space="0"/>
            </w:tcBorders>
            <w:shd w:val="clear" w:color="auto" w:fill="auto"/>
            <w:vAlign w:val="center"/>
          </w:tcPr>
          <w:p w14:paraId="2EC7404C">
            <w:pPr>
              <w:widowControl/>
              <w:jc w:val="center"/>
              <w:rPr>
                <w:rFonts w:ascii="宋体" w:hAnsi="宋体" w:cs="宋体"/>
                <w:kern w:val="0"/>
                <w:sz w:val="18"/>
                <w:szCs w:val="18"/>
              </w:rPr>
            </w:pPr>
            <w:r>
              <w:rPr>
                <w:rFonts w:hint="eastAsia" w:ascii="宋体" w:hAnsi="宋体" w:cs="宋体"/>
                <w:kern w:val="0"/>
                <w:sz w:val="18"/>
                <w:szCs w:val="18"/>
              </w:rPr>
              <w:t>100%</w:t>
            </w:r>
          </w:p>
        </w:tc>
        <w:tc>
          <w:tcPr>
            <w:tcW w:w="960" w:type="dxa"/>
            <w:tcBorders>
              <w:top w:val="nil"/>
              <w:left w:val="nil"/>
              <w:bottom w:val="single" w:color="auto" w:sz="4" w:space="0"/>
              <w:right w:val="single" w:color="auto" w:sz="4" w:space="0"/>
            </w:tcBorders>
            <w:shd w:val="clear" w:color="auto" w:fill="auto"/>
            <w:vAlign w:val="center"/>
          </w:tcPr>
          <w:p w14:paraId="7356B4A8">
            <w:pPr>
              <w:widowControl/>
              <w:jc w:val="left"/>
              <w:rPr>
                <w:rFonts w:ascii="宋体" w:hAnsi="宋体" w:cs="宋体"/>
                <w:kern w:val="0"/>
                <w:sz w:val="18"/>
                <w:szCs w:val="18"/>
              </w:rPr>
            </w:pPr>
            <w:r>
              <w:rPr>
                <w:rFonts w:hint="eastAsia" w:ascii="宋体" w:hAnsi="宋体" w:cs="宋体"/>
                <w:kern w:val="0"/>
                <w:sz w:val="18"/>
                <w:szCs w:val="18"/>
              </w:rPr>
              <w:t>　</w:t>
            </w:r>
          </w:p>
        </w:tc>
      </w:tr>
      <w:tr w14:paraId="00DB2114">
        <w:tblPrEx>
          <w:tblCellMar>
            <w:top w:w="0" w:type="dxa"/>
            <w:left w:w="108" w:type="dxa"/>
            <w:bottom w:w="0" w:type="dxa"/>
            <w:right w:w="108" w:type="dxa"/>
          </w:tblCellMar>
        </w:tblPrEx>
        <w:trPr>
          <w:trHeight w:val="630" w:hRule="atLeast"/>
        </w:trPr>
        <w:tc>
          <w:tcPr>
            <w:tcW w:w="740" w:type="dxa"/>
            <w:vMerge w:val="continue"/>
            <w:tcBorders>
              <w:top w:val="nil"/>
              <w:left w:val="single" w:color="auto" w:sz="4" w:space="0"/>
              <w:bottom w:val="single" w:color="auto" w:sz="4" w:space="0"/>
              <w:right w:val="single" w:color="auto" w:sz="4" w:space="0"/>
            </w:tcBorders>
            <w:vAlign w:val="center"/>
          </w:tcPr>
          <w:p w14:paraId="59D94C23">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1F7CFD31">
            <w:pPr>
              <w:widowControl/>
              <w:jc w:val="left"/>
              <w:rPr>
                <w:rFonts w:ascii="宋体" w:hAnsi="宋体" w:cs="宋体"/>
                <w:kern w:val="0"/>
                <w:sz w:val="18"/>
                <w:szCs w:val="18"/>
              </w:rPr>
            </w:pPr>
          </w:p>
        </w:tc>
        <w:tc>
          <w:tcPr>
            <w:tcW w:w="980" w:type="dxa"/>
            <w:tcBorders>
              <w:top w:val="nil"/>
              <w:left w:val="nil"/>
              <w:bottom w:val="single" w:color="auto" w:sz="4" w:space="0"/>
              <w:right w:val="single" w:color="auto" w:sz="4" w:space="0"/>
            </w:tcBorders>
            <w:shd w:val="clear" w:color="auto" w:fill="auto"/>
            <w:vAlign w:val="center"/>
          </w:tcPr>
          <w:p w14:paraId="2D2FE585">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020" w:type="dxa"/>
            <w:tcBorders>
              <w:top w:val="single" w:color="auto" w:sz="4" w:space="0"/>
              <w:left w:val="nil"/>
              <w:bottom w:val="single" w:color="auto" w:sz="4" w:space="0"/>
              <w:right w:val="single" w:color="auto" w:sz="4" w:space="0"/>
            </w:tcBorders>
            <w:shd w:val="clear" w:color="auto" w:fill="auto"/>
            <w:vAlign w:val="center"/>
          </w:tcPr>
          <w:p w14:paraId="0FFDF84E">
            <w:pPr>
              <w:widowControl/>
              <w:jc w:val="left"/>
              <w:rPr>
                <w:rFonts w:ascii="宋体" w:hAnsi="宋体" w:cs="宋体"/>
                <w:kern w:val="0"/>
                <w:sz w:val="18"/>
                <w:szCs w:val="18"/>
              </w:rPr>
            </w:pPr>
            <w:r>
              <w:rPr>
                <w:rFonts w:hint="eastAsia" w:ascii="宋体" w:hAnsi="宋体" w:cs="宋体"/>
                <w:kern w:val="0"/>
                <w:sz w:val="18"/>
                <w:szCs w:val="18"/>
              </w:rPr>
              <w:t>2021年全年</w:t>
            </w:r>
          </w:p>
        </w:tc>
        <w:tc>
          <w:tcPr>
            <w:tcW w:w="2280" w:type="dxa"/>
            <w:tcBorders>
              <w:top w:val="nil"/>
              <w:left w:val="nil"/>
              <w:bottom w:val="single" w:color="auto" w:sz="4" w:space="0"/>
              <w:right w:val="single" w:color="auto" w:sz="4" w:space="0"/>
            </w:tcBorders>
            <w:shd w:val="clear" w:color="auto" w:fill="auto"/>
            <w:vAlign w:val="center"/>
          </w:tcPr>
          <w:p w14:paraId="6161CE05">
            <w:pPr>
              <w:widowControl/>
              <w:jc w:val="left"/>
              <w:rPr>
                <w:rFonts w:ascii="宋体" w:hAnsi="宋体" w:cs="宋体"/>
                <w:kern w:val="0"/>
                <w:sz w:val="18"/>
                <w:szCs w:val="18"/>
              </w:rPr>
            </w:pPr>
            <w:r>
              <w:rPr>
                <w:rFonts w:hint="eastAsia" w:ascii="宋体" w:hAnsi="宋体" w:cs="宋体"/>
                <w:kern w:val="0"/>
                <w:sz w:val="18"/>
                <w:szCs w:val="18"/>
              </w:rPr>
              <w:t>2021年12月31日前</w:t>
            </w:r>
          </w:p>
        </w:tc>
        <w:tc>
          <w:tcPr>
            <w:tcW w:w="1300" w:type="dxa"/>
            <w:tcBorders>
              <w:top w:val="nil"/>
              <w:left w:val="nil"/>
              <w:bottom w:val="single" w:color="auto" w:sz="4" w:space="0"/>
              <w:right w:val="single" w:color="auto" w:sz="4" w:space="0"/>
            </w:tcBorders>
            <w:shd w:val="clear" w:color="auto" w:fill="auto"/>
            <w:vAlign w:val="center"/>
          </w:tcPr>
          <w:p w14:paraId="539EC28A">
            <w:pPr>
              <w:widowControl/>
              <w:jc w:val="center"/>
              <w:rPr>
                <w:rFonts w:ascii="宋体" w:hAnsi="宋体" w:cs="宋体"/>
                <w:kern w:val="0"/>
                <w:sz w:val="18"/>
                <w:szCs w:val="18"/>
              </w:rPr>
            </w:pPr>
            <w:r>
              <w:rPr>
                <w:rFonts w:hint="eastAsia" w:ascii="宋体" w:hAnsi="宋体" w:cs="宋体"/>
                <w:kern w:val="0"/>
                <w:sz w:val="18"/>
                <w:szCs w:val="18"/>
              </w:rPr>
              <w:t>2021年12月31日前</w:t>
            </w:r>
          </w:p>
        </w:tc>
        <w:tc>
          <w:tcPr>
            <w:tcW w:w="900" w:type="dxa"/>
            <w:tcBorders>
              <w:top w:val="nil"/>
              <w:left w:val="nil"/>
              <w:bottom w:val="single" w:color="auto" w:sz="4" w:space="0"/>
              <w:right w:val="single" w:color="auto" w:sz="4" w:space="0"/>
            </w:tcBorders>
            <w:shd w:val="clear" w:color="auto" w:fill="auto"/>
            <w:vAlign w:val="center"/>
          </w:tcPr>
          <w:p w14:paraId="2F74AA19">
            <w:pPr>
              <w:widowControl/>
              <w:jc w:val="center"/>
              <w:rPr>
                <w:rFonts w:ascii="宋体" w:hAnsi="宋体" w:cs="宋体"/>
                <w:kern w:val="0"/>
                <w:sz w:val="18"/>
                <w:szCs w:val="18"/>
              </w:rPr>
            </w:pPr>
            <w:r>
              <w:rPr>
                <w:rFonts w:hint="eastAsia" w:ascii="宋体" w:hAnsi="宋体" w:cs="宋体"/>
                <w:kern w:val="0"/>
                <w:sz w:val="18"/>
                <w:szCs w:val="18"/>
              </w:rPr>
              <w:t>100%</w:t>
            </w:r>
          </w:p>
        </w:tc>
        <w:tc>
          <w:tcPr>
            <w:tcW w:w="960" w:type="dxa"/>
            <w:tcBorders>
              <w:top w:val="nil"/>
              <w:left w:val="nil"/>
              <w:bottom w:val="single" w:color="auto" w:sz="4" w:space="0"/>
              <w:right w:val="single" w:color="auto" w:sz="4" w:space="0"/>
            </w:tcBorders>
            <w:shd w:val="clear" w:color="auto" w:fill="auto"/>
            <w:vAlign w:val="center"/>
          </w:tcPr>
          <w:p w14:paraId="6538DA15">
            <w:pPr>
              <w:widowControl/>
              <w:jc w:val="left"/>
              <w:rPr>
                <w:rFonts w:ascii="宋体" w:hAnsi="宋体" w:cs="宋体"/>
                <w:kern w:val="0"/>
                <w:sz w:val="18"/>
                <w:szCs w:val="18"/>
              </w:rPr>
            </w:pPr>
            <w:r>
              <w:rPr>
                <w:rFonts w:hint="eastAsia" w:ascii="宋体" w:hAnsi="宋体" w:cs="宋体"/>
                <w:kern w:val="0"/>
                <w:sz w:val="18"/>
                <w:szCs w:val="18"/>
              </w:rPr>
              <w:t>　</w:t>
            </w:r>
          </w:p>
        </w:tc>
      </w:tr>
      <w:tr w14:paraId="68C0A29E">
        <w:tblPrEx>
          <w:tblCellMar>
            <w:top w:w="0" w:type="dxa"/>
            <w:left w:w="108" w:type="dxa"/>
            <w:bottom w:w="0" w:type="dxa"/>
            <w:right w:w="108" w:type="dxa"/>
          </w:tblCellMar>
        </w:tblPrEx>
        <w:trPr>
          <w:trHeight w:val="630" w:hRule="atLeast"/>
        </w:trPr>
        <w:tc>
          <w:tcPr>
            <w:tcW w:w="740" w:type="dxa"/>
            <w:vMerge w:val="continue"/>
            <w:tcBorders>
              <w:top w:val="nil"/>
              <w:left w:val="single" w:color="auto" w:sz="4" w:space="0"/>
              <w:bottom w:val="single" w:color="auto" w:sz="4" w:space="0"/>
              <w:right w:val="single" w:color="auto" w:sz="4" w:space="0"/>
            </w:tcBorders>
            <w:vAlign w:val="center"/>
          </w:tcPr>
          <w:p w14:paraId="546A86B6">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0A790C09">
            <w:pPr>
              <w:widowControl/>
              <w:jc w:val="left"/>
              <w:rPr>
                <w:rFonts w:ascii="宋体" w:hAnsi="宋体" w:cs="宋体"/>
                <w:kern w:val="0"/>
                <w:sz w:val="18"/>
                <w:szCs w:val="18"/>
              </w:rPr>
            </w:pPr>
          </w:p>
        </w:tc>
        <w:tc>
          <w:tcPr>
            <w:tcW w:w="980" w:type="dxa"/>
            <w:tcBorders>
              <w:top w:val="nil"/>
              <w:left w:val="nil"/>
              <w:bottom w:val="single" w:color="auto" w:sz="4" w:space="0"/>
              <w:right w:val="single" w:color="auto" w:sz="4" w:space="0"/>
            </w:tcBorders>
            <w:shd w:val="clear" w:color="auto" w:fill="auto"/>
            <w:vAlign w:val="center"/>
          </w:tcPr>
          <w:p w14:paraId="26B32FFD">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020" w:type="dxa"/>
            <w:tcBorders>
              <w:top w:val="nil"/>
              <w:left w:val="nil"/>
              <w:bottom w:val="single" w:color="auto" w:sz="4" w:space="0"/>
              <w:right w:val="single" w:color="auto" w:sz="4" w:space="0"/>
            </w:tcBorders>
            <w:shd w:val="clear" w:color="auto" w:fill="auto"/>
            <w:vAlign w:val="center"/>
          </w:tcPr>
          <w:p w14:paraId="14DD4406">
            <w:pPr>
              <w:widowControl/>
              <w:jc w:val="left"/>
              <w:rPr>
                <w:rFonts w:ascii="宋体" w:hAnsi="宋体" w:cs="宋体"/>
                <w:kern w:val="0"/>
                <w:sz w:val="18"/>
                <w:szCs w:val="18"/>
              </w:rPr>
            </w:pPr>
            <w:r>
              <w:rPr>
                <w:rFonts w:hint="eastAsia" w:ascii="宋体" w:hAnsi="宋体" w:cs="宋体"/>
                <w:kern w:val="0"/>
                <w:sz w:val="18"/>
                <w:szCs w:val="18"/>
              </w:rPr>
              <w:t>技改前期工作经费</w:t>
            </w:r>
          </w:p>
        </w:tc>
        <w:tc>
          <w:tcPr>
            <w:tcW w:w="2280" w:type="dxa"/>
            <w:tcBorders>
              <w:top w:val="nil"/>
              <w:left w:val="nil"/>
              <w:bottom w:val="single" w:color="auto" w:sz="4" w:space="0"/>
              <w:right w:val="single" w:color="auto" w:sz="4" w:space="0"/>
            </w:tcBorders>
            <w:shd w:val="clear" w:color="auto" w:fill="auto"/>
            <w:vAlign w:val="center"/>
          </w:tcPr>
          <w:p w14:paraId="6E748728">
            <w:pPr>
              <w:widowControl/>
              <w:jc w:val="left"/>
              <w:rPr>
                <w:rFonts w:ascii="宋体" w:hAnsi="宋体" w:cs="宋体"/>
                <w:kern w:val="0"/>
                <w:sz w:val="18"/>
                <w:szCs w:val="18"/>
              </w:rPr>
            </w:pPr>
            <w:r>
              <w:rPr>
                <w:rFonts w:hint="eastAsia" w:ascii="宋体" w:hAnsi="宋体" w:cs="宋体"/>
                <w:kern w:val="0"/>
                <w:sz w:val="18"/>
                <w:szCs w:val="18"/>
              </w:rPr>
              <w:t>37万</w:t>
            </w:r>
          </w:p>
        </w:tc>
        <w:tc>
          <w:tcPr>
            <w:tcW w:w="1300" w:type="dxa"/>
            <w:tcBorders>
              <w:top w:val="nil"/>
              <w:left w:val="nil"/>
              <w:bottom w:val="single" w:color="auto" w:sz="4" w:space="0"/>
              <w:right w:val="single" w:color="auto" w:sz="4" w:space="0"/>
            </w:tcBorders>
            <w:shd w:val="clear" w:color="auto" w:fill="auto"/>
            <w:vAlign w:val="center"/>
          </w:tcPr>
          <w:p w14:paraId="6BAAB902">
            <w:pPr>
              <w:widowControl/>
              <w:jc w:val="center"/>
              <w:rPr>
                <w:rFonts w:ascii="宋体" w:hAnsi="宋体" w:cs="宋体"/>
                <w:kern w:val="0"/>
                <w:sz w:val="18"/>
                <w:szCs w:val="18"/>
              </w:rPr>
            </w:pPr>
            <w:r>
              <w:rPr>
                <w:rFonts w:hint="eastAsia" w:ascii="宋体" w:hAnsi="宋体" w:cs="宋体"/>
                <w:kern w:val="0"/>
                <w:sz w:val="18"/>
                <w:szCs w:val="18"/>
              </w:rPr>
              <w:t>37万</w:t>
            </w:r>
          </w:p>
        </w:tc>
        <w:tc>
          <w:tcPr>
            <w:tcW w:w="900" w:type="dxa"/>
            <w:tcBorders>
              <w:top w:val="nil"/>
              <w:left w:val="nil"/>
              <w:bottom w:val="single" w:color="auto" w:sz="4" w:space="0"/>
              <w:right w:val="single" w:color="auto" w:sz="4" w:space="0"/>
            </w:tcBorders>
            <w:shd w:val="clear" w:color="auto" w:fill="auto"/>
            <w:vAlign w:val="center"/>
          </w:tcPr>
          <w:p w14:paraId="291D7B0C">
            <w:pPr>
              <w:widowControl/>
              <w:jc w:val="center"/>
              <w:rPr>
                <w:rFonts w:ascii="宋体" w:hAnsi="宋体" w:cs="宋体"/>
                <w:kern w:val="0"/>
                <w:sz w:val="18"/>
                <w:szCs w:val="18"/>
              </w:rPr>
            </w:pPr>
            <w:r>
              <w:rPr>
                <w:rFonts w:hint="eastAsia" w:ascii="宋体" w:hAnsi="宋体" w:cs="宋体"/>
                <w:kern w:val="0"/>
                <w:sz w:val="18"/>
                <w:szCs w:val="18"/>
              </w:rPr>
              <w:t>100%</w:t>
            </w:r>
          </w:p>
        </w:tc>
        <w:tc>
          <w:tcPr>
            <w:tcW w:w="960" w:type="dxa"/>
            <w:tcBorders>
              <w:top w:val="nil"/>
              <w:left w:val="nil"/>
              <w:bottom w:val="single" w:color="auto" w:sz="4" w:space="0"/>
              <w:right w:val="single" w:color="auto" w:sz="4" w:space="0"/>
            </w:tcBorders>
            <w:shd w:val="clear" w:color="auto" w:fill="auto"/>
            <w:vAlign w:val="center"/>
          </w:tcPr>
          <w:p w14:paraId="47DF0506">
            <w:pPr>
              <w:widowControl/>
              <w:jc w:val="left"/>
              <w:rPr>
                <w:rFonts w:ascii="宋体" w:hAnsi="宋体" w:cs="宋体"/>
                <w:kern w:val="0"/>
                <w:sz w:val="18"/>
                <w:szCs w:val="18"/>
              </w:rPr>
            </w:pPr>
            <w:r>
              <w:rPr>
                <w:rFonts w:hint="eastAsia" w:ascii="宋体" w:hAnsi="宋体" w:cs="宋体"/>
                <w:kern w:val="0"/>
                <w:sz w:val="18"/>
                <w:szCs w:val="18"/>
              </w:rPr>
              <w:t>　</w:t>
            </w:r>
          </w:p>
        </w:tc>
      </w:tr>
      <w:tr w14:paraId="7F548685">
        <w:tblPrEx>
          <w:tblCellMar>
            <w:top w:w="0" w:type="dxa"/>
            <w:left w:w="108" w:type="dxa"/>
            <w:bottom w:w="0" w:type="dxa"/>
            <w:right w:w="108" w:type="dxa"/>
          </w:tblCellMar>
        </w:tblPrEx>
        <w:trPr>
          <w:trHeight w:val="750" w:hRule="atLeast"/>
        </w:trPr>
        <w:tc>
          <w:tcPr>
            <w:tcW w:w="740" w:type="dxa"/>
            <w:vMerge w:val="continue"/>
            <w:tcBorders>
              <w:top w:val="nil"/>
              <w:left w:val="single" w:color="auto" w:sz="4" w:space="0"/>
              <w:bottom w:val="single" w:color="auto" w:sz="4" w:space="0"/>
              <w:right w:val="single" w:color="auto" w:sz="4" w:space="0"/>
            </w:tcBorders>
            <w:vAlign w:val="center"/>
          </w:tcPr>
          <w:p w14:paraId="07C481F6">
            <w:pPr>
              <w:widowControl/>
              <w:jc w:val="left"/>
              <w:rPr>
                <w:rFonts w:ascii="宋体" w:hAnsi="宋体" w:cs="宋体"/>
                <w:kern w:val="0"/>
                <w:sz w:val="18"/>
                <w:szCs w:val="18"/>
              </w:rPr>
            </w:pP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7A43AC95">
            <w:pPr>
              <w:widowControl/>
              <w:jc w:val="center"/>
              <w:rPr>
                <w:rFonts w:ascii="宋体" w:hAnsi="宋体" w:cs="宋体"/>
                <w:kern w:val="0"/>
                <w:sz w:val="18"/>
                <w:szCs w:val="18"/>
              </w:rPr>
            </w:pPr>
            <w:r>
              <w:rPr>
                <w:rFonts w:hint="eastAsia" w:ascii="宋体" w:hAnsi="宋体" w:cs="宋体"/>
                <w:kern w:val="0"/>
                <w:sz w:val="18"/>
                <w:szCs w:val="18"/>
              </w:rPr>
              <w:t>项目效益</w:t>
            </w:r>
          </w:p>
        </w:tc>
        <w:tc>
          <w:tcPr>
            <w:tcW w:w="980" w:type="dxa"/>
            <w:tcBorders>
              <w:top w:val="nil"/>
              <w:left w:val="nil"/>
              <w:bottom w:val="single" w:color="auto" w:sz="4" w:space="0"/>
              <w:right w:val="single" w:color="auto" w:sz="4" w:space="0"/>
            </w:tcBorders>
            <w:shd w:val="clear" w:color="auto" w:fill="auto"/>
            <w:vAlign w:val="center"/>
          </w:tcPr>
          <w:p w14:paraId="6D0D4B66">
            <w:pPr>
              <w:widowControl/>
              <w:jc w:val="center"/>
              <w:rPr>
                <w:rFonts w:ascii="宋体" w:hAnsi="宋体" w:cs="宋体"/>
                <w:kern w:val="0"/>
                <w:sz w:val="18"/>
                <w:szCs w:val="18"/>
              </w:rPr>
            </w:pPr>
            <w:r>
              <w:rPr>
                <w:rFonts w:hint="eastAsia" w:ascii="宋体" w:hAnsi="宋体" w:cs="宋体"/>
                <w:kern w:val="0"/>
                <w:sz w:val="18"/>
                <w:szCs w:val="18"/>
              </w:rPr>
              <w:t>经济效益</w:t>
            </w:r>
            <w:r>
              <w:rPr>
                <w:rFonts w:hint="eastAsia" w:ascii="宋体" w:hAnsi="宋体" w:cs="宋体"/>
                <w:kern w:val="0"/>
                <w:sz w:val="18"/>
                <w:szCs w:val="18"/>
              </w:rPr>
              <w:br w:type="textWrapping"/>
            </w:r>
            <w:r>
              <w:rPr>
                <w:rFonts w:hint="eastAsia" w:ascii="宋体" w:hAnsi="宋体" w:cs="宋体"/>
                <w:kern w:val="0"/>
                <w:sz w:val="18"/>
                <w:szCs w:val="18"/>
              </w:rPr>
              <w:t>指标</w:t>
            </w:r>
          </w:p>
        </w:tc>
        <w:tc>
          <w:tcPr>
            <w:tcW w:w="2020" w:type="dxa"/>
            <w:tcBorders>
              <w:top w:val="nil"/>
              <w:left w:val="nil"/>
              <w:bottom w:val="single" w:color="auto" w:sz="4" w:space="0"/>
              <w:right w:val="single" w:color="auto" w:sz="4" w:space="0"/>
            </w:tcBorders>
            <w:shd w:val="clear" w:color="auto" w:fill="auto"/>
            <w:vAlign w:val="center"/>
          </w:tcPr>
          <w:p w14:paraId="00ACE343">
            <w:pPr>
              <w:widowControl/>
              <w:jc w:val="left"/>
              <w:rPr>
                <w:rFonts w:ascii="宋体" w:hAnsi="宋体" w:cs="宋体"/>
                <w:kern w:val="0"/>
                <w:sz w:val="18"/>
                <w:szCs w:val="18"/>
              </w:rPr>
            </w:pPr>
            <w:r>
              <w:rPr>
                <w:rFonts w:hint="eastAsia" w:ascii="宋体" w:hAnsi="宋体" w:cs="宋体"/>
                <w:kern w:val="0"/>
                <w:sz w:val="18"/>
                <w:szCs w:val="18"/>
              </w:rPr>
              <w:t>促进项目生成</w:t>
            </w:r>
          </w:p>
        </w:tc>
        <w:tc>
          <w:tcPr>
            <w:tcW w:w="2280" w:type="dxa"/>
            <w:tcBorders>
              <w:top w:val="nil"/>
              <w:left w:val="nil"/>
              <w:bottom w:val="single" w:color="auto" w:sz="4" w:space="0"/>
              <w:right w:val="single" w:color="auto" w:sz="4" w:space="0"/>
            </w:tcBorders>
            <w:shd w:val="clear" w:color="auto" w:fill="auto"/>
            <w:vAlign w:val="center"/>
          </w:tcPr>
          <w:p w14:paraId="268FB180">
            <w:pPr>
              <w:widowControl/>
              <w:jc w:val="left"/>
              <w:rPr>
                <w:rFonts w:ascii="宋体" w:hAnsi="宋体" w:cs="宋体"/>
                <w:kern w:val="0"/>
                <w:sz w:val="18"/>
                <w:szCs w:val="18"/>
              </w:rPr>
            </w:pPr>
            <w:r>
              <w:rPr>
                <w:rFonts w:hint="eastAsia" w:ascii="宋体" w:hAnsi="宋体" w:cs="宋体"/>
                <w:kern w:val="0"/>
                <w:sz w:val="18"/>
                <w:szCs w:val="18"/>
              </w:rPr>
              <w:t>完成35个项目前期论证</w:t>
            </w:r>
          </w:p>
        </w:tc>
        <w:tc>
          <w:tcPr>
            <w:tcW w:w="1300" w:type="dxa"/>
            <w:tcBorders>
              <w:top w:val="nil"/>
              <w:left w:val="nil"/>
              <w:bottom w:val="single" w:color="auto" w:sz="4" w:space="0"/>
              <w:right w:val="single" w:color="auto" w:sz="4" w:space="0"/>
            </w:tcBorders>
            <w:shd w:val="clear" w:color="auto" w:fill="auto"/>
            <w:vAlign w:val="center"/>
          </w:tcPr>
          <w:p w14:paraId="1DB4E210">
            <w:pPr>
              <w:widowControl/>
              <w:jc w:val="center"/>
              <w:rPr>
                <w:rFonts w:ascii="宋体" w:hAnsi="宋体" w:cs="宋体"/>
                <w:kern w:val="0"/>
                <w:sz w:val="18"/>
                <w:szCs w:val="18"/>
              </w:rPr>
            </w:pPr>
            <w:r>
              <w:rPr>
                <w:rFonts w:hint="eastAsia" w:ascii="宋体" w:hAnsi="宋体" w:cs="宋体"/>
                <w:kern w:val="0"/>
                <w:sz w:val="18"/>
                <w:szCs w:val="18"/>
              </w:rPr>
              <w:t>论证35个项目，提高资金使用效益</w:t>
            </w:r>
          </w:p>
        </w:tc>
        <w:tc>
          <w:tcPr>
            <w:tcW w:w="900" w:type="dxa"/>
            <w:tcBorders>
              <w:top w:val="nil"/>
              <w:left w:val="nil"/>
              <w:bottom w:val="single" w:color="auto" w:sz="4" w:space="0"/>
              <w:right w:val="single" w:color="auto" w:sz="4" w:space="0"/>
            </w:tcBorders>
            <w:shd w:val="clear" w:color="auto" w:fill="auto"/>
            <w:vAlign w:val="center"/>
          </w:tcPr>
          <w:p w14:paraId="5A2F284F">
            <w:pPr>
              <w:widowControl/>
              <w:jc w:val="center"/>
              <w:rPr>
                <w:rFonts w:ascii="宋体" w:hAnsi="宋体" w:cs="宋体"/>
                <w:kern w:val="0"/>
                <w:sz w:val="18"/>
                <w:szCs w:val="18"/>
              </w:rPr>
            </w:pPr>
            <w:r>
              <w:rPr>
                <w:rFonts w:hint="eastAsia" w:ascii="宋体" w:hAnsi="宋体" w:cs="宋体"/>
                <w:kern w:val="0"/>
                <w:sz w:val="18"/>
                <w:szCs w:val="18"/>
              </w:rPr>
              <w:t>100%</w:t>
            </w:r>
          </w:p>
        </w:tc>
        <w:tc>
          <w:tcPr>
            <w:tcW w:w="960" w:type="dxa"/>
            <w:tcBorders>
              <w:top w:val="nil"/>
              <w:left w:val="nil"/>
              <w:bottom w:val="single" w:color="auto" w:sz="4" w:space="0"/>
              <w:right w:val="single" w:color="auto" w:sz="4" w:space="0"/>
            </w:tcBorders>
            <w:shd w:val="clear" w:color="auto" w:fill="auto"/>
            <w:vAlign w:val="center"/>
          </w:tcPr>
          <w:p w14:paraId="40E71DCA">
            <w:pPr>
              <w:widowControl/>
              <w:jc w:val="left"/>
              <w:rPr>
                <w:rFonts w:ascii="宋体" w:hAnsi="宋体" w:cs="宋体"/>
                <w:kern w:val="0"/>
                <w:sz w:val="18"/>
                <w:szCs w:val="18"/>
              </w:rPr>
            </w:pPr>
            <w:r>
              <w:rPr>
                <w:rFonts w:hint="eastAsia" w:ascii="宋体" w:hAnsi="宋体" w:cs="宋体"/>
                <w:kern w:val="0"/>
                <w:sz w:val="18"/>
                <w:szCs w:val="18"/>
              </w:rPr>
              <w:t>　</w:t>
            </w:r>
          </w:p>
        </w:tc>
      </w:tr>
      <w:tr w14:paraId="3A151FF5">
        <w:tblPrEx>
          <w:tblCellMar>
            <w:top w:w="0" w:type="dxa"/>
            <w:left w:w="108" w:type="dxa"/>
            <w:bottom w:w="0" w:type="dxa"/>
            <w:right w:w="108" w:type="dxa"/>
          </w:tblCellMar>
        </w:tblPrEx>
        <w:trPr>
          <w:trHeight w:val="1260" w:hRule="atLeast"/>
        </w:trPr>
        <w:tc>
          <w:tcPr>
            <w:tcW w:w="740" w:type="dxa"/>
            <w:vMerge w:val="continue"/>
            <w:tcBorders>
              <w:top w:val="nil"/>
              <w:left w:val="single" w:color="auto" w:sz="4" w:space="0"/>
              <w:bottom w:val="single" w:color="auto" w:sz="4" w:space="0"/>
              <w:right w:val="single" w:color="auto" w:sz="4" w:space="0"/>
            </w:tcBorders>
            <w:vAlign w:val="center"/>
          </w:tcPr>
          <w:p w14:paraId="4CBF86C8">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45E52633">
            <w:pPr>
              <w:widowControl/>
              <w:jc w:val="left"/>
              <w:rPr>
                <w:rFonts w:ascii="宋体" w:hAnsi="宋体" w:cs="宋体"/>
                <w:kern w:val="0"/>
                <w:sz w:val="18"/>
                <w:szCs w:val="18"/>
              </w:rPr>
            </w:pPr>
          </w:p>
        </w:tc>
        <w:tc>
          <w:tcPr>
            <w:tcW w:w="980" w:type="dxa"/>
            <w:tcBorders>
              <w:top w:val="nil"/>
              <w:left w:val="nil"/>
              <w:bottom w:val="single" w:color="auto" w:sz="4" w:space="0"/>
              <w:right w:val="single" w:color="auto" w:sz="4" w:space="0"/>
            </w:tcBorders>
            <w:shd w:val="clear" w:color="auto" w:fill="auto"/>
            <w:vAlign w:val="center"/>
          </w:tcPr>
          <w:p w14:paraId="3BE95107">
            <w:pPr>
              <w:widowControl/>
              <w:jc w:val="center"/>
              <w:rPr>
                <w:rFonts w:ascii="宋体" w:hAnsi="宋体" w:cs="宋体"/>
                <w:kern w:val="0"/>
                <w:sz w:val="18"/>
                <w:szCs w:val="18"/>
              </w:rPr>
            </w:pPr>
            <w:r>
              <w:rPr>
                <w:rFonts w:hint="eastAsia" w:ascii="宋体" w:hAnsi="宋体" w:cs="宋体"/>
                <w:kern w:val="0"/>
                <w:sz w:val="18"/>
                <w:szCs w:val="18"/>
              </w:rPr>
              <w:t>社会效益</w:t>
            </w:r>
            <w:r>
              <w:rPr>
                <w:rFonts w:hint="eastAsia" w:ascii="宋体" w:hAnsi="宋体" w:cs="宋体"/>
                <w:kern w:val="0"/>
                <w:sz w:val="18"/>
                <w:szCs w:val="18"/>
              </w:rPr>
              <w:br w:type="textWrapping"/>
            </w:r>
            <w:r>
              <w:rPr>
                <w:rFonts w:hint="eastAsia" w:ascii="宋体" w:hAnsi="宋体" w:cs="宋体"/>
                <w:kern w:val="0"/>
                <w:sz w:val="18"/>
                <w:szCs w:val="18"/>
              </w:rPr>
              <w:t>指标</w:t>
            </w:r>
          </w:p>
        </w:tc>
        <w:tc>
          <w:tcPr>
            <w:tcW w:w="2020" w:type="dxa"/>
            <w:tcBorders>
              <w:top w:val="nil"/>
              <w:left w:val="nil"/>
              <w:bottom w:val="single" w:color="auto" w:sz="4" w:space="0"/>
              <w:right w:val="single" w:color="auto" w:sz="4" w:space="0"/>
            </w:tcBorders>
            <w:shd w:val="clear" w:color="auto" w:fill="auto"/>
            <w:vAlign w:val="center"/>
          </w:tcPr>
          <w:p w14:paraId="557156C0">
            <w:pPr>
              <w:widowControl/>
              <w:jc w:val="left"/>
              <w:rPr>
                <w:rFonts w:ascii="宋体" w:hAnsi="宋体" w:cs="宋体"/>
                <w:kern w:val="0"/>
                <w:sz w:val="18"/>
                <w:szCs w:val="18"/>
              </w:rPr>
            </w:pPr>
            <w:r>
              <w:rPr>
                <w:rFonts w:hint="eastAsia" w:ascii="宋体" w:hAnsi="宋体" w:cs="宋体"/>
                <w:kern w:val="0"/>
                <w:sz w:val="18"/>
                <w:szCs w:val="18"/>
              </w:rPr>
              <w:t>社会效益显著</w:t>
            </w:r>
          </w:p>
        </w:tc>
        <w:tc>
          <w:tcPr>
            <w:tcW w:w="2280" w:type="dxa"/>
            <w:tcBorders>
              <w:top w:val="nil"/>
              <w:left w:val="nil"/>
              <w:bottom w:val="single" w:color="auto" w:sz="4" w:space="0"/>
              <w:right w:val="single" w:color="auto" w:sz="4" w:space="0"/>
            </w:tcBorders>
            <w:shd w:val="clear" w:color="auto" w:fill="auto"/>
            <w:vAlign w:val="center"/>
          </w:tcPr>
          <w:p w14:paraId="7FE876FF">
            <w:pPr>
              <w:widowControl/>
              <w:jc w:val="left"/>
              <w:rPr>
                <w:rFonts w:ascii="宋体" w:hAnsi="宋体" w:cs="宋体"/>
                <w:kern w:val="0"/>
                <w:sz w:val="18"/>
                <w:szCs w:val="18"/>
              </w:rPr>
            </w:pPr>
            <w:r>
              <w:rPr>
                <w:rFonts w:hint="eastAsia" w:ascii="宋体" w:hAnsi="宋体" w:cs="宋体"/>
                <w:kern w:val="0"/>
                <w:sz w:val="18"/>
                <w:szCs w:val="18"/>
              </w:rPr>
              <w:t>提高工业项目管理水平、促进工业招商、项目落地，更扎实推进项目工作</w:t>
            </w:r>
          </w:p>
        </w:tc>
        <w:tc>
          <w:tcPr>
            <w:tcW w:w="1300" w:type="dxa"/>
            <w:tcBorders>
              <w:top w:val="nil"/>
              <w:left w:val="nil"/>
              <w:bottom w:val="single" w:color="auto" w:sz="4" w:space="0"/>
              <w:right w:val="single" w:color="auto" w:sz="4" w:space="0"/>
            </w:tcBorders>
            <w:shd w:val="clear" w:color="auto" w:fill="auto"/>
            <w:vAlign w:val="center"/>
          </w:tcPr>
          <w:p w14:paraId="107688BC">
            <w:pPr>
              <w:widowControl/>
              <w:jc w:val="center"/>
              <w:rPr>
                <w:rFonts w:ascii="宋体" w:hAnsi="宋体" w:cs="宋体"/>
                <w:kern w:val="0"/>
                <w:sz w:val="18"/>
                <w:szCs w:val="18"/>
              </w:rPr>
            </w:pPr>
            <w:r>
              <w:rPr>
                <w:rFonts w:hint="eastAsia" w:ascii="宋体" w:hAnsi="宋体" w:cs="宋体"/>
                <w:kern w:val="0"/>
                <w:sz w:val="18"/>
                <w:szCs w:val="18"/>
              </w:rPr>
              <w:t>已完成</w:t>
            </w:r>
          </w:p>
        </w:tc>
        <w:tc>
          <w:tcPr>
            <w:tcW w:w="900" w:type="dxa"/>
            <w:tcBorders>
              <w:top w:val="nil"/>
              <w:left w:val="nil"/>
              <w:bottom w:val="single" w:color="auto" w:sz="4" w:space="0"/>
              <w:right w:val="single" w:color="auto" w:sz="4" w:space="0"/>
            </w:tcBorders>
            <w:shd w:val="clear" w:color="auto" w:fill="auto"/>
            <w:vAlign w:val="center"/>
          </w:tcPr>
          <w:p w14:paraId="1DFD4484">
            <w:pPr>
              <w:widowControl/>
              <w:jc w:val="center"/>
              <w:rPr>
                <w:rFonts w:ascii="宋体" w:hAnsi="宋体" w:cs="宋体"/>
                <w:kern w:val="0"/>
                <w:sz w:val="18"/>
                <w:szCs w:val="18"/>
              </w:rPr>
            </w:pPr>
            <w:r>
              <w:rPr>
                <w:rFonts w:hint="eastAsia" w:ascii="宋体" w:hAnsi="宋体" w:cs="宋体"/>
                <w:kern w:val="0"/>
                <w:sz w:val="18"/>
                <w:szCs w:val="18"/>
              </w:rPr>
              <w:t>100%</w:t>
            </w:r>
          </w:p>
        </w:tc>
        <w:tc>
          <w:tcPr>
            <w:tcW w:w="960" w:type="dxa"/>
            <w:tcBorders>
              <w:top w:val="nil"/>
              <w:left w:val="nil"/>
              <w:bottom w:val="single" w:color="auto" w:sz="4" w:space="0"/>
              <w:right w:val="single" w:color="auto" w:sz="4" w:space="0"/>
            </w:tcBorders>
            <w:shd w:val="clear" w:color="auto" w:fill="auto"/>
            <w:vAlign w:val="center"/>
          </w:tcPr>
          <w:p w14:paraId="78B58621">
            <w:pPr>
              <w:widowControl/>
              <w:jc w:val="center"/>
              <w:rPr>
                <w:rFonts w:ascii="宋体" w:hAnsi="宋体" w:cs="宋体"/>
                <w:kern w:val="0"/>
                <w:sz w:val="18"/>
                <w:szCs w:val="18"/>
              </w:rPr>
            </w:pPr>
            <w:r>
              <w:rPr>
                <w:rFonts w:hint="eastAsia" w:ascii="宋体" w:hAnsi="宋体" w:cs="宋体"/>
                <w:kern w:val="0"/>
                <w:sz w:val="18"/>
                <w:szCs w:val="18"/>
              </w:rPr>
              <w:t>　</w:t>
            </w:r>
          </w:p>
        </w:tc>
      </w:tr>
      <w:tr w14:paraId="42F3AF69">
        <w:tblPrEx>
          <w:tblCellMar>
            <w:top w:w="0" w:type="dxa"/>
            <w:left w:w="108" w:type="dxa"/>
            <w:bottom w:w="0" w:type="dxa"/>
            <w:right w:w="108" w:type="dxa"/>
          </w:tblCellMar>
        </w:tblPrEx>
        <w:trPr>
          <w:trHeight w:val="1260" w:hRule="atLeast"/>
        </w:trPr>
        <w:tc>
          <w:tcPr>
            <w:tcW w:w="740" w:type="dxa"/>
            <w:vMerge w:val="continue"/>
            <w:tcBorders>
              <w:top w:val="nil"/>
              <w:left w:val="single" w:color="auto" w:sz="4" w:space="0"/>
              <w:bottom w:val="single" w:color="auto" w:sz="4" w:space="0"/>
              <w:right w:val="single" w:color="auto" w:sz="4" w:space="0"/>
            </w:tcBorders>
            <w:vAlign w:val="center"/>
          </w:tcPr>
          <w:p w14:paraId="65AAD7B5">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072B4196">
            <w:pPr>
              <w:widowControl/>
              <w:jc w:val="left"/>
              <w:rPr>
                <w:rFonts w:ascii="宋体" w:hAnsi="宋体" w:cs="宋体"/>
                <w:kern w:val="0"/>
                <w:sz w:val="18"/>
                <w:szCs w:val="18"/>
              </w:rPr>
            </w:pPr>
          </w:p>
        </w:tc>
        <w:tc>
          <w:tcPr>
            <w:tcW w:w="980" w:type="dxa"/>
            <w:tcBorders>
              <w:top w:val="nil"/>
              <w:left w:val="nil"/>
              <w:bottom w:val="single" w:color="auto" w:sz="4" w:space="0"/>
              <w:right w:val="single" w:color="auto" w:sz="4" w:space="0"/>
            </w:tcBorders>
            <w:shd w:val="clear" w:color="auto" w:fill="auto"/>
            <w:vAlign w:val="center"/>
          </w:tcPr>
          <w:p w14:paraId="5A225C22">
            <w:pPr>
              <w:widowControl/>
              <w:jc w:val="center"/>
              <w:rPr>
                <w:rFonts w:ascii="宋体" w:hAnsi="宋体" w:cs="宋体"/>
                <w:kern w:val="0"/>
                <w:sz w:val="18"/>
                <w:szCs w:val="18"/>
              </w:rPr>
            </w:pPr>
            <w:r>
              <w:rPr>
                <w:rFonts w:hint="eastAsia" w:ascii="宋体" w:hAnsi="宋体" w:cs="宋体"/>
                <w:kern w:val="0"/>
                <w:sz w:val="18"/>
                <w:szCs w:val="18"/>
              </w:rPr>
              <w:t>生态效益</w:t>
            </w:r>
            <w:r>
              <w:rPr>
                <w:rFonts w:hint="eastAsia" w:ascii="宋体" w:hAnsi="宋体" w:cs="宋体"/>
                <w:kern w:val="0"/>
                <w:sz w:val="18"/>
                <w:szCs w:val="18"/>
              </w:rPr>
              <w:br w:type="textWrapping"/>
            </w:r>
            <w:r>
              <w:rPr>
                <w:rFonts w:hint="eastAsia" w:ascii="宋体" w:hAnsi="宋体" w:cs="宋体"/>
                <w:kern w:val="0"/>
                <w:sz w:val="18"/>
                <w:szCs w:val="18"/>
              </w:rPr>
              <w:t>指标</w:t>
            </w:r>
          </w:p>
        </w:tc>
        <w:tc>
          <w:tcPr>
            <w:tcW w:w="2020" w:type="dxa"/>
            <w:tcBorders>
              <w:top w:val="nil"/>
              <w:left w:val="nil"/>
              <w:bottom w:val="single" w:color="auto" w:sz="4" w:space="0"/>
              <w:right w:val="single" w:color="auto" w:sz="4" w:space="0"/>
            </w:tcBorders>
            <w:shd w:val="clear" w:color="auto" w:fill="auto"/>
            <w:vAlign w:val="center"/>
          </w:tcPr>
          <w:p w14:paraId="23F601BE">
            <w:pPr>
              <w:widowControl/>
              <w:jc w:val="left"/>
              <w:rPr>
                <w:rFonts w:ascii="宋体" w:hAnsi="宋体" w:cs="宋体"/>
                <w:kern w:val="0"/>
                <w:sz w:val="18"/>
                <w:szCs w:val="18"/>
              </w:rPr>
            </w:pPr>
            <w:r>
              <w:rPr>
                <w:rFonts w:hint="eastAsia" w:ascii="宋体" w:hAnsi="宋体" w:cs="宋体"/>
                <w:kern w:val="0"/>
                <w:sz w:val="18"/>
                <w:szCs w:val="18"/>
              </w:rPr>
              <w:t>生态效益明显提升</w:t>
            </w:r>
          </w:p>
        </w:tc>
        <w:tc>
          <w:tcPr>
            <w:tcW w:w="2280" w:type="dxa"/>
            <w:tcBorders>
              <w:top w:val="nil"/>
              <w:left w:val="nil"/>
              <w:bottom w:val="single" w:color="auto" w:sz="4" w:space="0"/>
              <w:right w:val="single" w:color="auto" w:sz="4" w:space="0"/>
            </w:tcBorders>
            <w:shd w:val="clear" w:color="auto" w:fill="auto"/>
            <w:vAlign w:val="center"/>
          </w:tcPr>
          <w:p w14:paraId="064B7814">
            <w:pPr>
              <w:widowControl/>
              <w:jc w:val="left"/>
              <w:rPr>
                <w:rFonts w:ascii="宋体" w:hAnsi="宋体" w:cs="宋体"/>
                <w:kern w:val="0"/>
                <w:sz w:val="18"/>
                <w:szCs w:val="18"/>
              </w:rPr>
            </w:pPr>
            <w:r>
              <w:rPr>
                <w:rFonts w:hint="eastAsia" w:ascii="宋体" w:hAnsi="宋体" w:cs="宋体"/>
                <w:kern w:val="0"/>
                <w:sz w:val="18"/>
                <w:szCs w:val="18"/>
              </w:rPr>
              <w:t>对我市提高资源利用水平、提升环境质量、安全生产等方面均有积极促进作用</w:t>
            </w:r>
          </w:p>
        </w:tc>
        <w:tc>
          <w:tcPr>
            <w:tcW w:w="1300" w:type="dxa"/>
            <w:tcBorders>
              <w:top w:val="nil"/>
              <w:left w:val="nil"/>
              <w:bottom w:val="single" w:color="auto" w:sz="4" w:space="0"/>
              <w:right w:val="single" w:color="auto" w:sz="4" w:space="0"/>
            </w:tcBorders>
            <w:shd w:val="clear" w:color="auto" w:fill="auto"/>
            <w:vAlign w:val="center"/>
          </w:tcPr>
          <w:p w14:paraId="22EE4184">
            <w:pPr>
              <w:widowControl/>
              <w:jc w:val="center"/>
              <w:rPr>
                <w:rFonts w:ascii="宋体" w:hAnsi="宋体" w:cs="宋体"/>
                <w:kern w:val="0"/>
                <w:sz w:val="18"/>
                <w:szCs w:val="18"/>
              </w:rPr>
            </w:pPr>
            <w:r>
              <w:rPr>
                <w:rFonts w:hint="eastAsia" w:ascii="宋体" w:hAnsi="宋体" w:cs="宋体"/>
                <w:kern w:val="0"/>
                <w:sz w:val="18"/>
                <w:szCs w:val="18"/>
              </w:rPr>
              <w:t>已完成</w:t>
            </w:r>
          </w:p>
        </w:tc>
        <w:tc>
          <w:tcPr>
            <w:tcW w:w="900" w:type="dxa"/>
            <w:tcBorders>
              <w:top w:val="nil"/>
              <w:left w:val="nil"/>
              <w:bottom w:val="single" w:color="auto" w:sz="4" w:space="0"/>
              <w:right w:val="single" w:color="auto" w:sz="4" w:space="0"/>
            </w:tcBorders>
            <w:shd w:val="clear" w:color="auto" w:fill="auto"/>
            <w:vAlign w:val="center"/>
          </w:tcPr>
          <w:p w14:paraId="72CFB4EA">
            <w:pPr>
              <w:widowControl/>
              <w:jc w:val="center"/>
              <w:rPr>
                <w:rFonts w:ascii="宋体" w:hAnsi="宋体" w:cs="宋体"/>
                <w:kern w:val="0"/>
                <w:sz w:val="18"/>
                <w:szCs w:val="18"/>
              </w:rPr>
            </w:pPr>
            <w:r>
              <w:rPr>
                <w:rFonts w:hint="eastAsia" w:ascii="宋体" w:hAnsi="宋体" w:cs="宋体"/>
                <w:kern w:val="0"/>
                <w:sz w:val="18"/>
                <w:szCs w:val="18"/>
              </w:rPr>
              <w:t>100%</w:t>
            </w:r>
          </w:p>
        </w:tc>
        <w:tc>
          <w:tcPr>
            <w:tcW w:w="960" w:type="dxa"/>
            <w:tcBorders>
              <w:top w:val="nil"/>
              <w:left w:val="nil"/>
              <w:bottom w:val="single" w:color="auto" w:sz="4" w:space="0"/>
              <w:right w:val="single" w:color="auto" w:sz="4" w:space="0"/>
            </w:tcBorders>
            <w:shd w:val="clear" w:color="auto" w:fill="auto"/>
            <w:vAlign w:val="center"/>
          </w:tcPr>
          <w:p w14:paraId="305393CC">
            <w:pPr>
              <w:widowControl/>
              <w:jc w:val="center"/>
              <w:rPr>
                <w:rFonts w:ascii="宋体" w:hAnsi="宋体" w:cs="宋体"/>
                <w:kern w:val="0"/>
                <w:sz w:val="18"/>
                <w:szCs w:val="18"/>
              </w:rPr>
            </w:pPr>
            <w:r>
              <w:rPr>
                <w:rFonts w:hint="eastAsia" w:ascii="宋体" w:hAnsi="宋体" w:cs="宋体"/>
                <w:kern w:val="0"/>
                <w:sz w:val="18"/>
                <w:szCs w:val="18"/>
              </w:rPr>
              <w:t>　</w:t>
            </w:r>
          </w:p>
        </w:tc>
      </w:tr>
      <w:tr w14:paraId="16B093EF">
        <w:tblPrEx>
          <w:tblCellMar>
            <w:top w:w="0" w:type="dxa"/>
            <w:left w:w="108" w:type="dxa"/>
            <w:bottom w:w="0" w:type="dxa"/>
            <w:right w:w="108" w:type="dxa"/>
          </w:tblCellMar>
        </w:tblPrEx>
        <w:trPr>
          <w:trHeight w:val="1260" w:hRule="atLeast"/>
        </w:trPr>
        <w:tc>
          <w:tcPr>
            <w:tcW w:w="740" w:type="dxa"/>
            <w:vMerge w:val="continue"/>
            <w:tcBorders>
              <w:top w:val="nil"/>
              <w:left w:val="single" w:color="auto" w:sz="4" w:space="0"/>
              <w:bottom w:val="single" w:color="auto" w:sz="4" w:space="0"/>
              <w:right w:val="single" w:color="auto" w:sz="4" w:space="0"/>
            </w:tcBorders>
            <w:vAlign w:val="center"/>
          </w:tcPr>
          <w:p w14:paraId="381E521E">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1CA34836">
            <w:pPr>
              <w:widowControl/>
              <w:jc w:val="left"/>
              <w:rPr>
                <w:rFonts w:ascii="宋体" w:hAnsi="宋体" w:cs="宋体"/>
                <w:kern w:val="0"/>
                <w:sz w:val="18"/>
                <w:szCs w:val="18"/>
              </w:rPr>
            </w:pPr>
          </w:p>
        </w:tc>
        <w:tc>
          <w:tcPr>
            <w:tcW w:w="980" w:type="dxa"/>
            <w:tcBorders>
              <w:top w:val="nil"/>
              <w:left w:val="nil"/>
              <w:bottom w:val="single" w:color="auto" w:sz="4" w:space="0"/>
              <w:right w:val="single" w:color="auto" w:sz="4" w:space="0"/>
            </w:tcBorders>
            <w:shd w:val="clear" w:color="auto" w:fill="auto"/>
            <w:vAlign w:val="center"/>
          </w:tcPr>
          <w:p w14:paraId="3651C99F">
            <w:pPr>
              <w:widowControl/>
              <w:jc w:val="center"/>
              <w:rPr>
                <w:rFonts w:ascii="宋体" w:hAnsi="宋体" w:cs="宋体"/>
                <w:kern w:val="0"/>
                <w:sz w:val="18"/>
                <w:szCs w:val="18"/>
              </w:rPr>
            </w:pPr>
            <w:r>
              <w:rPr>
                <w:rFonts w:hint="eastAsia" w:ascii="宋体" w:hAnsi="宋体" w:cs="宋体"/>
                <w:kern w:val="0"/>
                <w:sz w:val="18"/>
                <w:szCs w:val="18"/>
              </w:rPr>
              <w:t>可持续影响</w:t>
            </w:r>
            <w:r>
              <w:rPr>
                <w:rFonts w:hint="eastAsia" w:ascii="宋体" w:hAnsi="宋体" w:cs="宋体"/>
                <w:kern w:val="0"/>
                <w:sz w:val="18"/>
                <w:szCs w:val="18"/>
              </w:rPr>
              <w:br w:type="textWrapping"/>
            </w:r>
            <w:r>
              <w:rPr>
                <w:rFonts w:hint="eastAsia" w:ascii="宋体" w:hAnsi="宋体" w:cs="宋体"/>
                <w:kern w:val="0"/>
                <w:sz w:val="18"/>
                <w:szCs w:val="18"/>
              </w:rPr>
              <w:t>指标</w:t>
            </w:r>
          </w:p>
        </w:tc>
        <w:tc>
          <w:tcPr>
            <w:tcW w:w="2020" w:type="dxa"/>
            <w:tcBorders>
              <w:top w:val="nil"/>
              <w:left w:val="nil"/>
              <w:bottom w:val="single" w:color="auto" w:sz="4" w:space="0"/>
              <w:right w:val="single" w:color="auto" w:sz="4" w:space="0"/>
            </w:tcBorders>
            <w:shd w:val="clear" w:color="auto" w:fill="auto"/>
            <w:vAlign w:val="center"/>
          </w:tcPr>
          <w:p w14:paraId="79E81ABF">
            <w:pPr>
              <w:widowControl/>
              <w:jc w:val="left"/>
              <w:rPr>
                <w:rFonts w:ascii="宋体" w:hAnsi="宋体" w:cs="宋体"/>
                <w:kern w:val="0"/>
                <w:sz w:val="18"/>
                <w:szCs w:val="18"/>
              </w:rPr>
            </w:pPr>
            <w:r>
              <w:rPr>
                <w:rFonts w:hint="eastAsia" w:ascii="宋体" w:hAnsi="宋体" w:cs="宋体"/>
                <w:kern w:val="0"/>
                <w:sz w:val="18"/>
                <w:szCs w:val="18"/>
              </w:rPr>
              <w:t>长期性</w:t>
            </w:r>
          </w:p>
        </w:tc>
        <w:tc>
          <w:tcPr>
            <w:tcW w:w="2280" w:type="dxa"/>
            <w:tcBorders>
              <w:top w:val="nil"/>
              <w:left w:val="nil"/>
              <w:bottom w:val="single" w:color="auto" w:sz="4" w:space="0"/>
              <w:right w:val="single" w:color="auto" w:sz="4" w:space="0"/>
            </w:tcBorders>
            <w:shd w:val="clear" w:color="auto" w:fill="auto"/>
            <w:vAlign w:val="center"/>
          </w:tcPr>
          <w:p w14:paraId="131A663E">
            <w:pPr>
              <w:widowControl/>
              <w:jc w:val="left"/>
              <w:rPr>
                <w:rFonts w:ascii="宋体" w:hAnsi="宋体" w:cs="宋体"/>
                <w:kern w:val="0"/>
                <w:sz w:val="18"/>
                <w:szCs w:val="18"/>
              </w:rPr>
            </w:pPr>
            <w:r>
              <w:rPr>
                <w:rFonts w:hint="eastAsia" w:ascii="宋体" w:hAnsi="宋体" w:cs="宋体"/>
                <w:kern w:val="0"/>
                <w:sz w:val="18"/>
                <w:szCs w:val="18"/>
              </w:rPr>
              <w:t>充分发挥省级财政资金引导作用，促进我市经济发展。</w:t>
            </w:r>
          </w:p>
        </w:tc>
        <w:tc>
          <w:tcPr>
            <w:tcW w:w="1300" w:type="dxa"/>
            <w:tcBorders>
              <w:top w:val="nil"/>
              <w:left w:val="nil"/>
              <w:bottom w:val="single" w:color="auto" w:sz="4" w:space="0"/>
              <w:right w:val="single" w:color="auto" w:sz="4" w:space="0"/>
            </w:tcBorders>
            <w:shd w:val="clear" w:color="auto" w:fill="auto"/>
            <w:vAlign w:val="center"/>
          </w:tcPr>
          <w:p w14:paraId="5A3A9FFA">
            <w:pPr>
              <w:widowControl/>
              <w:jc w:val="center"/>
              <w:rPr>
                <w:rFonts w:ascii="宋体" w:hAnsi="宋体" w:cs="宋体"/>
                <w:kern w:val="0"/>
                <w:sz w:val="18"/>
                <w:szCs w:val="18"/>
              </w:rPr>
            </w:pPr>
            <w:r>
              <w:rPr>
                <w:rFonts w:hint="eastAsia" w:ascii="宋体" w:hAnsi="宋体" w:cs="宋体"/>
                <w:kern w:val="0"/>
                <w:sz w:val="18"/>
                <w:szCs w:val="18"/>
              </w:rPr>
              <w:t>已完成</w:t>
            </w:r>
          </w:p>
        </w:tc>
        <w:tc>
          <w:tcPr>
            <w:tcW w:w="900" w:type="dxa"/>
            <w:tcBorders>
              <w:top w:val="nil"/>
              <w:left w:val="nil"/>
              <w:bottom w:val="single" w:color="auto" w:sz="4" w:space="0"/>
              <w:right w:val="single" w:color="auto" w:sz="4" w:space="0"/>
            </w:tcBorders>
            <w:shd w:val="clear" w:color="auto" w:fill="auto"/>
            <w:vAlign w:val="center"/>
          </w:tcPr>
          <w:p w14:paraId="5BEF0B46">
            <w:pPr>
              <w:widowControl/>
              <w:jc w:val="center"/>
              <w:rPr>
                <w:rFonts w:ascii="宋体" w:hAnsi="宋体" w:cs="宋体"/>
                <w:kern w:val="0"/>
                <w:sz w:val="18"/>
                <w:szCs w:val="18"/>
              </w:rPr>
            </w:pPr>
            <w:r>
              <w:rPr>
                <w:rFonts w:hint="eastAsia" w:ascii="宋体" w:hAnsi="宋体" w:cs="宋体"/>
                <w:kern w:val="0"/>
                <w:sz w:val="18"/>
                <w:szCs w:val="18"/>
              </w:rPr>
              <w:t>100%</w:t>
            </w:r>
          </w:p>
        </w:tc>
        <w:tc>
          <w:tcPr>
            <w:tcW w:w="960" w:type="dxa"/>
            <w:tcBorders>
              <w:top w:val="nil"/>
              <w:left w:val="nil"/>
              <w:bottom w:val="single" w:color="auto" w:sz="4" w:space="0"/>
              <w:right w:val="single" w:color="auto" w:sz="4" w:space="0"/>
            </w:tcBorders>
            <w:shd w:val="clear" w:color="auto" w:fill="auto"/>
            <w:vAlign w:val="center"/>
          </w:tcPr>
          <w:p w14:paraId="41D14946">
            <w:pPr>
              <w:widowControl/>
              <w:jc w:val="center"/>
              <w:rPr>
                <w:rFonts w:ascii="宋体" w:hAnsi="宋体" w:cs="宋体"/>
                <w:kern w:val="0"/>
                <w:sz w:val="18"/>
                <w:szCs w:val="18"/>
              </w:rPr>
            </w:pPr>
            <w:r>
              <w:rPr>
                <w:rFonts w:hint="eastAsia" w:ascii="宋体" w:hAnsi="宋体" w:cs="宋体"/>
                <w:kern w:val="0"/>
                <w:sz w:val="18"/>
                <w:szCs w:val="18"/>
              </w:rPr>
              <w:t>　</w:t>
            </w:r>
          </w:p>
        </w:tc>
      </w:tr>
      <w:tr w14:paraId="555F3BED">
        <w:tblPrEx>
          <w:tblCellMar>
            <w:top w:w="0" w:type="dxa"/>
            <w:left w:w="108" w:type="dxa"/>
            <w:bottom w:w="0" w:type="dxa"/>
            <w:right w:w="108" w:type="dxa"/>
          </w:tblCellMar>
        </w:tblPrEx>
        <w:trPr>
          <w:trHeight w:val="1545" w:hRule="atLeast"/>
        </w:trPr>
        <w:tc>
          <w:tcPr>
            <w:tcW w:w="740" w:type="dxa"/>
            <w:vMerge w:val="continue"/>
            <w:tcBorders>
              <w:top w:val="nil"/>
              <w:left w:val="single" w:color="auto" w:sz="4" w:space="0"/>
              <w:bottom w:val="single" w:color="auto" w:sz="4" w:space="0"/>
              <w:right w:val="single" w:color="auto" w:sz="4" w:space="0"/>
            </w:tcBorders>
            <w:vAlign w:val="center"/>
          </w:tcPr>
          <w:p w14:paraId="2DD541D9">
            <w:pPr>
              <w:widowControl/>
              <w:jc w:val="left"/>
              <w:rPr>
                <w:rFonts w:ascii="宋体" w:hAnsi="宋体" w:cs="宋体"/>
                <w:kern w:val="0"/>
                <w:sz w:val="18"/>
                <w:szCs w:val="18"/>
              </w:rPr>
            </w:pPr>
          </w:p>
        </w:tc>
        <w:tc>
          <w:tcPr>
            <w:tcW w:w="740" w:type="dxa"/>
            <w:tcBorders>
              <w:top w:val="nil"/>
              <w:left w:val="nil"/>
              <w:bottom w:val="single" w:color="auto" w:sz="4" w:space="0"/>
              <w:right w:val="single" w:color="auto" w:sz="4" w:space="0"/>
            </w:tcBorders>
            <w:shd w:val="clear" w:color="auto" w:fill="auto"/>
            <w:vAlign w:val="center"/>
          </w:tcPr>
          <w:p w14:paraId="18218249">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980" w:type="dxa"/>
            <w:tcBorders>
              <w:top w:val="nil"/>
              <w:left w:val="nil"/>
              <w:bottom w:val="single" w:color="auto" w:sz="4" w:space="0"/>
              <w:right w:val="single" w:color="auto" w:sz="4" w:space="0"/>
            </w:tcBorders>
            <w:shd w:val="clear" w:color="auto" w:fill="auto"/>
            <w:vAlign w:val="center"/>
          </w:tcPr>
          <w:p w14:paraId="4EA0A868">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020" w:type="dxa"/>
            <w:tcBorders>
              <w:top w:val="nil"/>
              <w:left w:val="nil"/>
              <w:bottom w:val="single" w:color="auto" w:sz="4" w:space="0"/>
              <w:right w:val="single" w:color="auto" w:sz="4" w:space="0"/>
            </w:tcBorders>
            <w:shd w:val="clear" w:color="auto" w:fill="auto"/>
            <w:vAlign w:val="center"/>
          </w:tcPr>
          <w:p w14:paraId="568BC0FC">
            <w:pPr>
              <w:widowControl/>
              <w:jc w:val="left"/>
              <w:rPr>
                <w:rFonts w:ascii="宋体" w:hAnsi="宋体" w:cs="宋体"/>
                <w:kern w:val="0"/>
                <w:sz w:val="18"/>
                <w:szCs w:val="18"/>
              </w:rPr>
            </w:pPr>
            <w:r>
              <w:rPr>
                <w:rFonts w:hint="eastAsia" w:ascii="宋体" w:hAnsi="宋体" w:cs="宋体"/>
                <w:kern w:val="0"/>
                <w:sz w:val="18"/>
                <w:szCs w:val="18"/>
              </w:rPr>
              <w:t>省级机关、市县（区）及项目业主共同监管，达到资金使用共同满意。</w:t>
            </w:r>
          </w:p>
        </w:tc>
        <w:tc>
          <w:tcPr>
            <w:tcW w:w="2280" w:type="dxa"/>
            <w:tcBorders>
              <w:top w:val="nil"/>
              <w:left w:val="nil"/>
              <w:bottom w:val="single" w:color="auto" w:sz="4" w:space="0"/>
              <w:right w:val="single" w:color="auto" w:sz="4" w:space="0"/>
            </w:tcBorders>
            <w:shd w:val="clear" w:color="auto" w:fill="auto"/>
            <w:vAlign w:val="center"/>
          </w:tcPr>
          <w:p w14:paraId="037C750A">
            <w:pPr>
              <w:widowControl/>
              <w:jc w:val="left"/>
              <w:rPr>
                <w:rFonts w:ascii="宋体" w:hAnsi="宋体" w:cs="宋体"/>
                <w:kern w:val="0"/>
                <w:sz w:val="18"/>
                <w:szCs w:val="18"/>
              </w:rPr>
            </w:pPr>
            <w:r>
              <w:rPr>
                <w:rFonts w:hint="eastAsia" w:ascii="宋体" w:hAnsi="宋体" w:cs="宋体"/>
                <w:kern w:val="0"/>
                <w:sz w:val="18"/>
                <w:szCs w:val="18"/>
              </w:rPr>
              <w:t>让项目业主和县区部门加强省级工业发展资金共同监管，确保省级工业发展资金规范使用。</w:t>
            </w:r>
          </w:p>
        </w:tc>
        <w:tc>
          <w:tcPr>
            <w:tcW w:w="1300" w:type="dxa"/>
            <w:tcBorders>
              <w:top w:val="nil"/>
              <w:left w:val="nil"/>
              <w:bottom w:val="single" w:color="auto" w:sz="4" w:space="0"/>
              <w:right w:val="single" w:color="auto" w:sz="4" w:space="0"/>
            </w:tcBorders>
            <w:shd w:val="clear" w:color="auto" w:fill="auto"/>
            <w:vAlign w:val="center"/>
          </w:tcPr>
          <w:p w14:paraId="0E59E433">
            <w:pPr>
              <w:widowControl/>
              <w:jc w:val="center"/>
              <w:rPr>
                <w:rFonts w:ascii="宋体" w:hAnsi="宋体" w:cs="宋体"/>
                <w:kern w:val="0"/>
                <w:sz w:val="18"/>
                <w:szCs w:val="18"/>
              </w:rPr>
            </w:pPr>
            <w:r>
              <w:rPr>
                <w:rFonts w:hint="eastAsia" w:ascii="宋体" w:hAnsi="宋体" w:cs="宋体"/>
                <w:kern w:val="0"/>
                <w:sz w:val="18"/>
                <w:szCs w:val="18"/>
              </w:rPr>
              <w:t>满意度高</w:t>
            </w:r>
          </w:p>
        </w:tc>
        <w:tc>
          <w:tcPr>
            <w:tcW w:w="900" w:type="dxa"/>
            <w:tcBorders>
              <w:top w:val="nil"/>
              <w:left w:val="nil"/>
              <w:bottom w:val="single" w:color="auto" w:sz="4" w:space="0"/>
              <w:right w:val="single" w:color="auto" w:sz="4" w:space="0"/>
            </w:tcBorders>
            <w:shd w:val="clear" w:color="auto" w:fill="auto"/>
            <w:vAlign w:val="center"/>
          </w:tcPr>
          <w:p w14:paraId="37EACB23">
            <w:pPr>
              <w:widowControl/>
              <w:jc w:val="center"/>
              <w:rPr>
                <w:rFonts w:ascii="宋体" w:hAnsi="宋体" w:cs="宋体"/>
                <w:kern w:val="0"/>
                <w:sz w:val="18"/>
                <w:szCs w:val="18"/>
              </w:rPr>
            </w:pPr>
            <w:r>
              <w:rPr>
                <w:rFonts w:hint="eastAsia" w:ascii="宋体" w:hAnsi="宋体" w:cs="宋体"/>
                <w:kern w:val="0"/>
                <w:sz w:val="18"/>
                <w:szCs w:val="18"/>
              </w:rPr>
              <w:t>100%</w:t>
            </w:r>
          </w:p>
        </w:tc>
        <w:tc>
          <w:tcPr>
            <w:tcW w:w="960" w:type="dxa"/>
            <w:tcBorders>
              <w:top w:val="nil"/>
              <w:left w:val="nil"/>
              <w:bottom w:val="single" w:color="auto" w:sz="4" w:space="0"/>
              <w:right w:val="single" w:color="auto" w:sz="4" w:space="0"/>
            </w:tcBorders>
            <w:shd w:val="clear" w:color="auto" w:fill="auto"/>
            <w:vAlign w:val="center"/>
          </w:tcPr>
          <w:p w14:paraId="7B0B7E87">
            <w:pPr>
              <w:widowControl/>
              <w:jc w:val="left"/>
              <w:rPr>
                <w:rFonts w:ascii="宋体" w:hAnsi="宋体" w:cs="宋体"/>
                <w:kern w:val="0"/>
                <w:sz w:val="18"/>
                <w:szCs w:val="18"/>
              </w:rPr>
            </w:pPr>
            <w:r>
              <w:rPr>
                <w:rFonts w:hint="eastAsia" w:ascii="宋体" w:hAnsi="宋体" w:cs="宋体"/>
                <w:kern w:val="0"/>
                <w:sz w:val="18"/>
                <w:szCs w:val="18"/>
              </w:rPr>
              <w:t>　</w:t>
            </w:r>
          </w:p>
        </w:tc>
      </w:tr>
    </w:tbl>
    <w:p w14:paraId="4425D959">
      <w:pPr>
        <w:pStyle w:val="2"/>
        <w:spacing w:before="93"/>
        <w:rPr>
          <w:rFonts w:hint="eastAsia"/>
        </w:rPr>
      </w:pPr>
    </w:p>
    <w:tbl>
      <w:tblPr>
        <w:tblStyle w:val="13"/>
        <w:tblW w:w="9620" w:type="dxa"/>
        <w:tblInd w:w="93" w:type="dxa"/>
        <w:tblLayout w:type="autofit"/>
        <w:tblCellMar>
          <w:top w:w="0" w:type="dxa"/>
          <w:left w:w="108" w:type="dxa"/>
          <w:bottom w:w="0" w:type="dxa"/>
          <w:right w:w="108" w:type="dxa"/>
        </w:tblCellMar>
      </w:tblPr>
      <w:tblGrid>
        <w:gridCol w:w="740"/>
        <w:gridCol w:w="740"/>
        <w:gridCol w:w="1080"/>
        <w:gridCol w:w="2460"/>
        <w:gridCol w:w="1360"/>
        <w:gridCol w:w="1480"/>
        <w:gridCol w:w="700"/>
        <w:gridCol w:w="1060"/>
      </w:tblGrid>
      <w:tr w14:paraId="0B816248">
        <w:tblPrEx>
          <w:tblCellMar>
            <w:top w:w="0" w:type="dxa"/>
            <w:left w:w="108" w:type="dxa"/>
            <w:bottom w:w="0" w:type="dxa"/>
            <w:right w:w="108" w:type="dxa"/>
          </w:tblCellMar>
        </w:tblPrEx>
        <w:trPr>
          <w:trHeight w:val="675" w:hRule="atLeast"/>
        </w:trPr>
        <w:tc>
          <w:tcPr>
            <w:tcW w:w="9620" w:type="dxa"/>
            <w:gridSpan w:val="8"/>
            <w:tcBorders>
              <w:top w:val="nil"/>
              <w:left w:val="nil"/>
              <w:bottom w:val="nil"/>
              <w:right w:val="nil"/>
            </w:tcBorders>
            <w:shd w:val="clear" w:color="auto" w:fill="auto"/>
            <w:vAlign w:val="center"/>
          </w:tcPr>
          <w:p w14:paraId="566142C4">
            <w:pPr>
              <w:widowControl/>
              <w:jc w:val="center"/>
              <w:rPr>
                <w:rFonts w:ascii="宋体" w:hAnsi="宋体" w:cs="宋体"/>
                <w:b/>
                <w:bCs/>
                <w:kern w:val="0"/>
                <w:sz w:val="32"/>
                <w:szCs w:val="32"/>
              </w:rPr>
            </w:pPr>
            <w:r>
              <w:rPr>
                <w:rFonts w:hint="eastAsia" w:ascii="宋体" w:hAnsi="宋体" w:cs="宋体"/>
                <w:b/>
                <w:bCs/>
                <w:kern w:val="0"/>
                <w:sz w:val="32"/>
                <w:szCs w:val="32"/>
              </w:rPr>
              <w:t>专项（项目）资金绩效自评表</w:t>
            </w:r>
          </w:p>
        </w:tc>
      </w:tr>
      <w:tr w14:paraId="395453B6">
        <w:tblPrEx>
          <w:tblCellMar>
            <w:top w:w="0" w:type="dxa"/>
            <w:left w:w="108" w:type="dxa"/>
            <w:bottom w:w="0" w:type="dxa"/>
            <w:right w:w="108" w:type="dxa"/>
          </w:tblCellMar>
        </w:tblPrEx>
        <w:trPr>
          <w:trHeight w:val="285" w:hRule="atLeast"/>
        </w:trPr>
        <w:tc>
          <w:tcPr>
            <w:tcW w:w="9620" w:type="dxa"/>
            <w:gridSpan w:val="8"/>
            <w:tcBorders>
              <w:top w:val="nil"/>
              <w:left w:val="nil"/>
              <w:bottom w:val="nil"/>
              <w:right w:val="nil"/>
            </w:tcBorders>
            <w:shd w:val="clear" w:color="auto" w:fill="auto"/>
            <w:vAlign w:val="center"/>
          </w:tcPr>
          <w:p w14:paraId="4A5578E6">
            <w:pPr>
              <w:widowControl/>
              <w:jc w:val="center"/>
              <w:rPr>
                <w:rFonts w:ascii="宋体" w:hAnsi="宋体" w:cs="宋体"/>
                <w:kern w:val="0"/>
                <w:sz w:val="24"/>
              </w:rPr>
            </w:pPr>
            <w:r>
              <w:rPr>
                <w:rFonts w:hint="eastAsia" w:ascii="宋体" w:hAnsi="宋体" w:cs="宋体"/>
                <w:kern w:val="0"/>
                <w:sz w:val="24"/>
              </w:rPr>
              <w:t>（</w:t>
            </w:r>
            <w:r>
              <w:rPr>
                <w:kern w:val="0"/>
                <w:sz w:val="24"/>
              </w:rPr>
              <w:t>2021</w:t>
            </w:r>
            <w:r>
              <w:rPr>
                <w:rFonts w:hint="eastAsia" w:ascii="宋体" w:hAnsi="宋体" w:cs="宋体"/>
                <w:kern w:val="0"/>
                <w:sz w:val="24"/>
              </w:rPr>
              <w:t>年度）</w:t>
            </w:r>
          </w:p>
        </w:tc>
      </w:tr>
      <w:tr w14:paraId="6A92C1AC">
        <w:tblPrEx>
          <w:tblCellMar>
            <w:top w:w="0" w:type="dxa"/>
            <w:left w:w="108" w:type="dxa"/>
            <w:bottom w:w="0" w:type="dxa"/>
            <w:right w:w="108" w:type="dxa"/>
          </w:tblCellMar>
        </w:tblPrEx>
        <w:trPr>
          <w:trHeight w:val="435" w:hRule="atLeast"/>
        </w:trPr>
        <w:tc>
          <w:tcPr>
            <w:tcW w:w="740" w:type="dxa"/>
            <w:tcBorders>
              <w:top w:val="nil"/>
              <w:left w:val="nil"/>
              <w:bottom w:val="single" w:color="auto" w:sz="4" w:space="0"/>
              <w:right w:val="nil"/>
            </w:tcBorders>
            <w:shd w:val="clear" w:color="auto" w:fill="auto"/>
            <w:noWrap/>
            <w:vAlign w:val="center"/>
          </w:tcPr>
          <w:p w14:paraId="60BB6B5D">
            <w:pPr>
              <w:widowControl/>
              <w:jc w:val="left"/>
              <w:rPr>
                <w:rFonts w:ascii="宋体" w:hAnsi="宋体" w:cs="宋体"/>
                <w:kern w:val="0"/>
                <w:sz w:val="24"/>
              </w:rPr>
            </w:pPr>
            <w:r>
              <w:rPr>
                <w:rFonts w:hint="eastAsia" w:ascii="宋体" w:hAnsi="宋体" w:cs="宋体"/>
                <w:kern w:val="0"/>
                <w:sz w:val="24"/>
              </w:rPr>
              <w:t>　</w:t>
            </w:r>
          </w:p>
        </w:tc>
        <w:tc>
          <w:tcPr>
            <w:tcW w:w="740" w:type="dxa"/>
            <w:tcBorders>
              <w:top w:val="nil"/>
              <w:left w:val="nil"/>
              <w:bottom w:val="single" w:color="auto" w:sz="4" w:space="0"/>
              <w:right w:val="nil"/>
            </w:tcBorders>
            <w:shd w:val="clear" w:color="auto" w:fill="auto"/>
            <w:vAlign w:val="center"/>
          </w:tcPr>
          <w:p w14:paraId="3A9BF64D">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nil"/>
              <w:right w:val="nil"/>
            </w:tcBorders>
            <w:shd w:val="clear" w:color="auto" w:fill="auto"/>
            <w:vAlign w:val="center"/>
          </w:tcPr>
          <w:p w14:paraId="4CB21E3C">
            <w:pPr>
              <w:widowControl/>
              <w:jc w:val="left"/>
              <w:rPr>
                <w:rFonts w:ascii="宋体" w:hAnsi="宋体" w:cs="宋体"/>
                <w:kern w:val="0"/>
                <w:sz w:val="24"/>
              </w:rPr>
            </w:pPr>
          </w:p>
        </w:tc>
        <w:tc>
          <w:tcPr>
            <w:tcW w:w="2460" w:type="dxa"/>
            <w:tcBorders>
              <w:top w:val="nil"/>
              <w:left w:val="nil"/>
              <w:bottom w:val="nil"/>
              <w:right w:val="nil"/>
            </w:tcBorders>
            <w:shd w:val="clear" w:color="auto" w:fill="auto"/>
            <w:vAlign w:val="center"/>
          </w:tcPr>
          <w:p w14:paraId="0F3AEE1C">
            <w:pPr>
              <w:widowControl/>
              <w:jc w:val="left"/>
              <w:rPr>
                <w:rFonts w:ascii="宋体" w:hAnsi="宋体" w:cs="宋体"/>
                <w:kern w:val="0"/>
                <w:sz w:val="24"/>
              </w:rPr>
            </w:pPr>
          </w:p>
        </w:tc>
        <w:tc>
          <w:tcPr>
            <w:tcW w:w="1360" w:type="dxa"/>
            <w:tcBorders>
              <w:top w:val="nil"/>
              <w:left w:val="nil"/>
              <w:bottom w:val="nil"/>
              <w:right w:val="nil"/>
            </w:tcBorders>
            <w:shd w:val="clear" w:color="auto" w:fill="auto"/>
            <w:vAlign w:val="center"/>
          </w:tcPr>
          <w:p w14:paraId="03AF3496">
            <w:pPr>
              <w:widowControl/>
              <w:jc w:val="left"/>
              <w:rPr>
                <w:rFonts w:ascii="宋体" w:hAnsi="宋体" w:cs="宋体"/>
                <w:kern w:val="0"/>
                <w:sz w:val="24"/>
              </w:rPr>
            </w:pPr>
          </w:p>
        </w:tc>
        <w:tc>
          <w:tcPr>
            <w:tcW w:w="1480" w:type="dxa"/>
            <w:tcBorders>
              <w:top w:val="nil"/>
              <w:left w:val="nil"/>
              <w:bottom w:val="nil"/>
              <w:right w:val="nil"/>
            </w:tcBorders>
            <w:shd w:val="clear" w:color="auto" w:fill="auto"/>
            <w:vAlign w:val="center"/>
          </w:tcPr>
          <w:p w14:paraId="2C18CABB">
            <w:pPr>
              <w:widowControl/>
              <w:jc w:val="left"/>
              <w:rPr>
                <w:rFonts w:ascii="宋体" w:hAnsi="宋体" w:cs="宋体"/>
                <w:kern w:val="0"/>
                <w:sz w:val="24"/>
              </w:rPr>
            </w:pPr>
          </w:p>
        </w:tc>
        <w:tc>
          <w:tcPr>
            <w:tcW w:w="700" w:type="dxa"/>
            <w:tcBorders>
              <w:top w:val="nil"/>
              <w:left w:val="nil"/>
              <w:bottom w:val="nil"/>
              <w:right w:val="nil"/>
            </w:tcBorders>
            <w:shd w:val="clear" w:color="auto" w:fill="auto"/>
            <w:vAlign w:val="center"/>
          </w:tcPr>
          <w:p w14:paraId="4445D3AF">
            <w:pPr>
              <w:widowControl/>
              <w:jc w:val="left"/>
              <w:rPr>
                <w:rFonts w:ascii="宋体" w:hAnsi="宋体" w:cs="宋体"/>
                <w:kern w:val="0"/>
                <w:sz w:val="24"/>
              </w:rPr>
            </w:pPr>
          </w:p>
        </w:tc>
        <w:tc>
          <w:tcPr>
            <w:tcW w:w="1060" w:type="dxa"/>
            <w:tcBorders>
              <w:top w:val="nil"/>
              <w:left w:val="nil"/>
              <w:bottom w:val="nil"/>
              <w:right w:val="nil"/>
            </w:tcBorders>
            <w:shd w:val="clear" w:color="auto" w:fill="auto"/>
            <w:vAlign w:val="center"/>
          </w:tcPr>
          <w:p w14:paraId="5F7B9666">
            <w:pPr>
              <w:widowControl/>
              <w:jc w:val="left"/>
              <w:rPr>
                <w:rFonts w:ascii="宋体" w:hAnsi="宋体" w:cs="宋体"/>
                <w:kern w:val="0"/>
                <w:sz w:val="24"/>
              </w:rPr>
            </w:pPr>
          </w:p>
        </w:tc>
      </w:tr>
      <w:tr w14:paraId="4307D083">
        <w:tblPrEx>
          <w:tblCellMar>
            <w:top w:w="0" w:type="dxa"/>
            <w:left w:w="108" w:type="dxa"/>
            <w:bottom w:w="0" w:type="dxa"/>
            <w:right w:w="108" w:type="dxa"/>
          </w:tblCellMar>
        </w:tblPrEx>
        <w:trPr>
          <w:trHeight w:val="439" w:hRule="atLeast"/>
        </w:trPr>
        <w:tc>
          <w:tcPr>
            <w:tcW w:w="25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A451FC7">
            <w:pPr>
              <w:widowControl/>
              <w:jc w:val="center"/>
              <w:rPr>
                <w:rFonts w:ascii="宋体" w:hAnsi="宋体" w:cs="宋体"/>
                <w:kern w:val="0"/>
                <w:sz w:val="18"/>
                <w:szCs w:val="18"/>
              </w:rPr>
            </w:pPr>
            <w:r>
              <w:rPr>
                <w:rFonts w:hint="eastAsia" w:ascii="宋体" w:hAnsi="宋体" w:cs="宋体"/>
                <w:kern w:val="0"/>
                <w:sz w:val="18"/>
                <w:szCs w:val="18"/>
              </w:rPr>
              <w:t>专项（项目）名称</w:t>
            </w:r>
          </w:p>
        </w:tc>
        <w:tc>
          <w:tcPr>
            <w:tcW w:w="7060" w:type="dxa"/>
            <w:gridSpan w:val="5"/>
            <w:tcBorders>
              <w:top w:val="single" w:color="auto" w:sz="4" w:space="0"/>
              <w:left w:val="nil"/>
              <w:bottom w:val="single" w:color="auto" w:sz="4" w:space="0"/>
              <w:right w:val="single" w:color="auto" w:sz="4" w:space="0"/>
            </w:tcBorders>
            <w:shd w:val="clear" w:color="auto" w:fill="auto"/>
            <w:vAlign w:val="center"/>
          </w:tcPr>
          <w:p w14:paraId="185FD6EE">
            <w:pPr>
              <w:widowControl/>
              <w:jc w:val="center"/>
              <w:rPr>
                <w:rFonts w:ascii="宋体" w:hAnsi="宋体" w:cs="宋体"/>
                <w:kern w:val="0"/>
                <w:sz w:val="18"/>
                <w:szCs w:val="18"/>
              </w:rPr>
            </w:pPr>
            <w:r>
              <w:rPr>
                <w:rFonts w:hint="eastAsia" w:ascii="宋体" w:hAnsi="宋体" w:cs="宋体"/>
                <w:kern w:val="0"/>
                <w:sz w:val="18"/>
                <w:szCs w:val="18"/>
              </w:rPr>
              <w:t>工业招商引资专项经费</w:t>
            </w:r>
          </w:p>
        </w:tc>
      </w:tr>
      <w:tr w14:paraId="3FF34A97">
        <w:tblPrEx>
          <w:tblCellMar>
            <w:top w:w="0" w:type="dxa"/>
            <w:left w:w="108" w:type="dxa"/>
            <w:bottom w:w="0" w:type="dxa"/>
            <w:right w:w="108" w:type="dxa"/>
          </w:tblCellMar>
        </w:tblPrEx>
        <w:trPr>
          <w:trHeight w:val="439" w:hRule="atLeast"/>
        </w:trPr>
        <w:tc>
          <w:tcPr>
            <w:tcW w:w="25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06E1DF0">
            <w:pPr>
              <w:widowControl/>
              <w:jc w:val="center"/>
              <w:rPr>
                <w:rFonts w:ascii="宋体" w:hAnsi="宋体" w:cs="宋体"/>
                <w:kern w:val="0"/>
                <w:sz w:val="18"/>
                <w:szCs w:val="18"/>
              </w:rPr>
            </w:pPr>
            <w:r>
              <w:rPr>
                <w:rFonts w:hint="eastAsia" w:ascii="宋体" w:hAnsi="宋体" w:cs="宋体"/>
                <w:kern w:val="0"/>
                <w:sz w:val="18"/>
                <w:szCs w:val="18"/>
              </w:rPr>
              <w:t>项目主管单位</w:t>
            </w:r>
          </w:p>
        </w:tc>
        <w:tc>
          <w:tcPr>
            <w:tcW w:w="7060" w:type="dxa"/>
            <w:gridSpan w:val="5"/>
            <w:tcBorders>
              <w:top w:val="single" w:color="auto" w:sz="4" w:space="0"/>
              <w:left w:val="nil"/>
              <w:bottom w:val="single" w:color="auto" w:sz="4" w:space="0"/>
              <w:right w:val="single" w:color="auto" w:sz="4" w:space="0"/>
            </w:tcBorders>
            <w:shd w:val="clear" w:color="auto" w:fill="auto"/>
            <w:vAlign w:val="center"/>
          </w:tcPr>
          <w:p w14:paraId="0AB53D57">
            <w:pPr>
              <w:widowControl/>
              <w:jc w:val="center"/>
              <w:rPr>
                <w:rFonts w:ascii="宋体" w:hAnsi="宋体" w:cs="宋体"/>
                <w:kern w:val="0"/>
                <w:sz w:val="18"/>
                <w:szCs w:val="18"/>
              </w:rPr>
            </w:pPr>
            <w:r>
              <w:rPr>
                <w:rFonts w:hint="eastAsia" w:ascii="宋体" w:hAnsi="宋体" w:cs="宋体"/>
                <w:kern w:val="0"/>
                <w:sz w:val="18"/>
                <w:szCs w:val="18"/>
              </w:rPr>
              <w:t>攀枝花市经济和信息化局</w:t>
            </w:r>
          </w:p>
        </w:tc>
      </w:tr>
      <w:tr w14:paraId="7DB5E6CA">
        <w:tblPrEx>
          <w:tblCellMar>
            <w:top w:w="0" w:type="dxa"/>
            <w:left w:w="108" w:type="dxa"/>
            <w:bottom w:w="0" w:type="dxa"/>
            <w:right w:w="108" w:type="dxa"/>
          </w:tblCellMar>
        </w:tblPrEx>
        <w:trPr>
          <w:trHeight w:val="439" w:hRule="atLeast"/>
        </w:trPr>
        <w:tc>
          <w:tcPr>
            <w:tcW w:w="256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17A4C60F">
            <w:pPr>
              <w:widowControl/>
              <w:jc w:val="center"/>
              <w:rPr>
                <w:rFonts w:ascii="宋体" w:hAnsi="宋体" w:cs="宋体"/>
                <w:kern w:val="0"/>
                <w:sz w:val="18"/>
                <w:szCs w:val="18"/>
              </w:rPr>
            </w:pPr>
            <w:r>
              <w:rPr>
                <w:rFonts w:hint="eastAsia" w:ascii="宋体" w:hAnsi="宋体" w:cs="宋体"/>
                <w:kern w:val="0"/>
                <w:sz w:val="18"/>
                <w:szCs w:val="18"/>
              </w:rPr>
              <w:t>项目实施单位</w:t>
            </w:r>
          </w:p>
        </w:tc>
        <w:tc>
          <w:tcPr>
            <w:tcW w:w="7060" w:type="dxa"/>
            <w:gridSpan w:val="5"/>
            <w:tcBorders>
              <w:top w:val="single" w:color="auto" w:sz="4" w:space="0"/>
              <w:left w:val="nil"/>
              <w:bottom w:val="single" w:color="auto" w:sz="4" w:space="0"/>
              <w:right w:val="single" w:color="000000" w:sz="4" w:space="0"/>
            </w:tcBorders>
            <w:shd w:val="clear" w:color="auto" w:fill="auto"/>
            <w:vAlign w:val="center"/>
          </w:tcPr>
          <w:p w14:paraId="17EC98F8">
            <w:pPr>
              <w:widowControl/>
              <w:jc w:val="center"/>
              <w:rPr>
                <w:rFonts w:ascii="宋体" w:hAnsi="宋体" w:cs="宋体"/>
                <w:kern w:val="0"/>
                <w:sz w:val="18"/>
                <w:szCs w:val="18"/>
              </w:rPr>
            </w:pPr>
            <w:r>
              <w:rPr>
                <w:rFonts w:hint="eastAsia" w:ascii="宋体" w:hAnsi="宋体" w:cs="宋体"/>
                <w:kern w:val="0"/>
                <w:sz w:val="18"/>
                <w:szCs w:val="18"/>
              </w:rPr>
              <w:t>攀枝花市经济和信息化局</w:t>
            </w:r>
          </w:p>
        </w:tc>
      </w:tr>
      <w:tr w14:paraId="4A547AFD">
        <w:tblPrEx>
          <w:tblCellMar>
            <w:top w:w="0" w:type="dxa"/>
            <w:left w:w="108" w:type="dxa"/>
            <w:bottom w:w="0" w:type="dxa"/>
            <w:right w:w="108" w:type="dxa"/>
          </w:tblCellMar>
        </w:tblPrEx>
        <w:trPr>
          <w:trHeight w:val="439" w:hRule="atLeast"/>
        </w:trPr>
        <w:tc>
          <w:tcPr>
            <w:tcW w:w="25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625E64">
            <w:pPr>
              <w:widowControl/>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460" w:type="dxa"/>
            <w:tcBorders>
              <w:top w:val="nil"/>
              <w:left w:val="nil"/>
              <w:bottom w:val="single" w:color="auto" w:sz="4" w:space="0"/>
              <w:right w:val="single" w:color="auto" w:sz="4" w:space="0"/>
            </w:tcBorders>
            <w:shd w:val="clear" w:color="auto" w:fill="auto"/>
            <w:vAlign w:val="center"/>
          </w:tcPr>
          <w:p w14:paraId="024BD25F">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vAlign w:val="center"/>
          </w:tcPr>
          <w:p w14:paraId="7C5EC417">
            <w:pPr>
              <w:widowControl/>
              <w:jc w:val="center"/>
              <w:rPr>
                <w:rFonts w:ascii="宋体" w:hAnsi="宋体" w:cs="宋体"/>
                <w:kern w:val="0"/>
                <w:sz w:val="18"/>
                <w:szCs w:val="18"/>
              </w:rPr>
            </w:pPr>
            <w:r>
              <w:rPr>
                <w:rFonts w:hint="eastAsia" w:ascii="宋体" w:hAnsi="宋体" w:cs="宋体"/>
                <w:kern w:val="0"/>
                <w:sz w:val="18"/>
                <w:szCs w:val="18"/>
              </w:rPr>
              <w:t>全年预算数</w:t>
            </w:r>
          </w:p>
        </w:tc>
        <w:tc>
          <w:tcPr>
            <w:tcW w:w="1480" w:type="dxa"/>
            <w:tcBorders>
              <w:top w:val="nil"/>
              <w:left w:val="nil"/>
              <w:bottom w:val="single" w:color="auto" w:sz="4" w:space="0"/>
              <w:right w:val="single" w:color="auto" w:sz="4" w:space="0"/>
            </w:tcBorders>
            <w:shd w:val="clear" w:color="auto" w:fill="auto"/>
            <w:vAlign w:val="center"/>
          </w:tcPr>
          <w:p w14:paraId="0475DC61">
            <w:pPr>
              <w:widowControl/>
              <w:jc w:val="center"/>
              <w:rPr>
                <w:rFonts w:ascii="宋体" w:hAnsi="宋体" w:cs="宋体"/>
                <w:kern w:val="0"/>
                <w:sz w:val="18"/>
                <w:szCs w:val="18"/>
              </w:rPr>
            </w:pPr>
            <w:r>
              <w:rPr>
                <w:rFonts w:hint="eastAsia" w:ascii="宋体" w:hAnsi="宋体" w:cs="宋体"/>
                <w:kern w:val="0"/>
                <w:sz w:val="18"/>
                <w:szCs w:val="18"/>
              </w:rPr>
              <w:t>实际完成数</w:t>
            </w:r>
          </w:p>
        </w:tc>
        <w:tc>
          <w:tcPr>
            <w:tcW w:w="1760" w:type="dxa"/>
            <w:gridSpan w:val="2"/>
            <w:tcBorders>
              <w:top w:val="single" w:color="auto" w:sz="4" w:space="0"/>
              <w:left w:val="nil"/>
              <w:bottom w:val="single" w:color="auto" w:sz="4" w:space="0"/>
              <w:right w:val="single" w:color="000000" w:sz="4" w:space="0"/>
            </w:tcBorders>
            <w:shd w:val="clear" w:color="auto" w:fill="auto"/>
            <w:vAlign w:val="center"/>
          </w:tcPr>
          <w:p w14:paraId="2288B49F">
            <w:pPr>
              <w:widowControl/>
              <w:jc w:val="center"/>
              <w:rPr>
                <w:rFonts w:ascii="宋体" w:hAnsi="宋体" w:cs="宋体"/>
                <w:kern w:val="0"/>
                <w:sz w:val="18"/>
                <w:szCs w:val="18"/>
              </w:rPr>
            </w:pPr>
            <w:r>
              <w:rPr>
                <w:rFonts w:hint="eastAsia" w:ascii="宋体" w:hAnsi="宋体" w:cs="宋体"/>
                <w:kern w:val="0"/>
                <w:sz w:val="18"/>
                <w:szCs w:val="18"/>
              </w:rPr>
              <w:t>执行率（%）</w:t>
            </w:r>
          </w:p>
        </w:tc>
      </w:tr>
      <w:tr w14:paraId="10623352">
        <w:tblPrEx>
          <w:tblCellMar>
            <w:top w:w="0" w:type="dxa"/>
            <w:left w:w="108" w:type="dxa"/>
            <w:bottom w:w="0" w:type="dxa"/>
            <w:right w:w="108" w:type="dxa"/>
          </w:tblCellMar>
        </w:tblPrEx>
        <w:trPr>
          <w:trHeight w:val="439" w:hRule="atLeast"/>
        </w:trPr>
        <w:tc>
          <w:tcPr>
            <w:tcW w:w="2560" w:type="dxa"/>
            <w:gridSpan w:val="3"/>
            <w:vMerge w:val="continue"/>
            <w:tcBorders>
              <w:top w:val="single" w:color="auto" w:sz="4" w:space="0"/>
              <w:left w:val="single" w:color="auto" w:sz="4" w:space="0"/>
              <w:bottom w:val="single" w:color="auto" w:sz="4" w:space="0"/>
              <w:right w:val="single" w:color="auto" w:sz="4" w:space="0"/>
            </w:tcBorders>
            <w:vAlign w:val="center"/>
          </w:tcPr>
          <w:p w14:paraId="6C5E58ED">
            <w:pPr>
              <w:widowControl/>
              <w:jc w:val="left"/>
              <w:rPr>
                <w:rFonts w:ascii="宋体" w:hAnsi="宋体" w:cs="宋体"/>
                <w:kern w:val="0"/>
                <w:sz w:val="18"/>
                <w:szCs w:val="18"/>
              </w:rPr>
            </w:pPr>
          </w:p>
        </w:tc>
        <w:tc>
          <w:tcPr>
            <w:tcW w:w="2460" w:type="dxa"/>
            <w:tcBorders>
              <w:top w:val="nil"/>
              <w:left w:val="nil"/>
              <w:bottom w:val="single" w:color="auto" w:sz="4" w:space="0"/>
              <w:right w:val="single" w:color="auto" w:sz="4" w:space="0"/>
            </w:tcBorders>
            <w:shd w:val="clear" w:color="auto" w:fill="auto"/>
            <w:vAlign w:val="center"/>
          </w:tcPr>
          <w:p w14:paraId="7FFEE1BC">
            <w:pPr>
              <w:widowControl/>
              <w:jc w:val="left"/>
              <w:rPr>
                <w:rFonts w:ascii="宋体" w:hAnsi="宋体" w:cs="宋体"/>
                <w:kern w:val="0"/>
                <w:sz w:val="18"/>
                <w:szCs w:val="18"/>
              </w:rPr>
            </w:pPr>
            <w:r>
              <w:rPr>
                <w:rFonts w:hint="eastAsia" w:ascii="宋体" w:hAnsi="宋体" w:cs="宋体"/>
                <w:kern w:val="0"/>
                <w:sz w:val="18"/>
                <w:szCs w:val="18"/>
              </w:rPr>
              <w:t xml:space="preserve"> 年度资金总额：</w:t>
            </w:r>
          </w:p>
        </w:tc>
        <w:tc>
          <w:tcPr>
            <w:tcW w:w="1360" w:type="dxa"/>
            <w:tcBorders>
              <w:top w:val="nil"/>
              <w:left w:val="nil"/>
              <w:bottom w:val="single" w:color="auto" w:sz="4" w:space="0"/>
              <w:right w:val="single" w:color="auto" w:sz="4" w:space="0"/>
            </w:tcBorders>
            <w:shd w:val="clear" w:color="auto" w:fill="auto"/>
            <w:vAlign w:val="center"/>
          </w:tcPr>
          <w:p w14:paraId="6CD8906C">
            <w:pPr>
              <w:widowControl/>
              <w:jc w:val="center"/>
              <w:rPr>
                <w:rFonts w:ascii="宋体" w:hAnsi="宋体" w:cs="宋体"/>
                <w:kern w:val="0"/>
                <w:sz w:val="18"/>
                <w:szCs w:val="18"/>
              </w:rPr>
            </w:pPr>
            <w:r>
              <w:rPr>
                <w:rFonts w:hint="eastAsia" w:ascii="宋体" w:hAnsi="宋体" w:cs="宋体"/>
                <w:kern w:val="0"/>
                <w:sz w:val="18"/>
                <w:szCs w:val="18"/>
              </w:rPr>
              <w:t>35.37</w:t>
            </w:r>
          </w:p>
        </w:tc>
        <w:tc>
          <w:tcPr>
            <w:tcW w:w="1480" w:type="dxa"/>
            <w:tcBorders>
              <w:top w:val="nil"/>
              <w:left w:val="nil"/>
              <w:bottom w:val="single" w:color="auto" w:sz="4" w:space="0"/>
              <w:right w:val="single" w:color="auto" w:sz="4" w:space="0"/>
            </w:tcBorders>
            <w:shd w:val="clear" w:color="auto" w:fill="auto"/>
            <w:vAlign w:val="center"/>
          </w:tcPr>
          <w:p w14:paraId="438CE455">
            <w:pPr>
              <w:widowControl/>
              <w:jc w:val="center"/>
              <w:rPr>
                <w:rFonts w:ascii="宋体" w:hAnsi="宋体" w:cs="宋体"/>
                <w:kern w:val="0"/>
                <w:sz w:val="18"/>
                <w:szCs w:val="18"/>
              </w:rPr>
            </w:pPr>
            <w:r>
              <w:rPr>
                <w:rFonts w:hint="eastAsia" w:ascii="宋体" w:hAnsi="宋体" w:cs="宋体"/>
                <w:kern w:val="0"/>
                <w:sz w:val="18"/>
                <w:szCs w:val="18"/>
              </w:rPr>
              <w:t>93.37</w:t>
            </w:r>
          </w:p>
        </w:tc>
        <w:tc>
          <w:tcPr>
            <w:tcW w:w="1760" w:type="dxa"/>
            <w:gridSpan w:val="2"/>
            <w:tcBorders>
              <w:top w:val="single" w:color="auto" w:sz="4" w:space="0"/>
              <w:left w:val="nil"/>
              <w:bottom w:val="single" w:color="auto" w:sz="4" w:space="0"/>
              <w:right w:val="single" w:color="000000" w:sz="4" w:space="0"/>
            </w:tcBorders>
            <w:shd w:val="clear" w:color="auto" w:fill="auto"/>
            <w:vAlign w:val="center"/>
          </w:tcPr>
          <w:p w14:paraId="0C2B0D55">
            <w:pPr>
              <w:widowControl/>
              <w:jc w:val="center"/>
              <w:rPr>
                <w:rFonts w:ascii="宋体" w:hAnsi="宋体" w:cs="宋体"/>
                <w:kern w:val="0"/>
                <w:sz w:val="18"/>
                <w:szCs w:val="18"/>
              </w:rPr>
            </w:pPr>
            <w:r>
              <w:rPr>
                <w:rFonts w:hint="eastAsia" w:ascii="宋体" w:hAnsi="宋体" w:cs="宋体"/>
                <w:kern w:val="0"/>
                <w:sz w:val="18"/>
                <w:szCs w:val="18"/>
              </w:rPr>
              <w:t>264%</w:t>
            </w:r>
          </w:p>
        </w:tc>
      </w:tr>
      <w:tr w14:paraId="0FEAA20D">
        <w:tblPrEx>
          <w:tblCellMar>
            <w:top w:w="0" w:type="dxa"/>
            <w:left w:w="108" w:type="dxa"/>
            <w:bottom w:w="0" w:type="dxa"/>
            <w:right w:w="108" w:type="dxa"/>
          </w:tblCellMar>
        </w:tblPrEx>
        <w:trPr>
          <w:trHeight w:val="439" w:hRule="atLeast"/>
        </w:trPr>
        <w:tc>
          <w:tcPr>
            <w:tcW w:w="2560" w:type="dxa"/>
            <w:gridSpan w:val="3"/>
            <w:vMerge w:val="continue"/>
            <w:tcBorders>
              <w:top w:val="single" w:color="auto" w:sz="4" w:space="0"/>
              <w:left w:val="single" w:color="auto" w:sz="4" w:space="0"/>
              <w:bottom w:val="single" w:color="auto" w:sz="4" w:space="0"/>
              <w:right w:val="single" w:color="auto" w:sz="4" w:space="0"/>
            </w:tcBorders>
            <w:vAlign w:val="center"/>
          </w:tcPr>
          <w:p w14:paraId="35232D14">
            <w:pPr>
              <w:widowControl/>
              <w:jc w:val="left"/>
              <w:rPr>
                <w:rFonts w:ascii="宋体" w:hAnsi="宋体" w:cs="宋体"/>
                <w:kern w:val="0"/>
                <w:sz w:val="18"/>
                <w:szCs w:val="18"/>
              </w:rPr>
            </w:pPr>
          </w:p>
        </w:tc>
        <w:tc>
          <w:tcPr>
            <w:tcW w:w="2460" w:type="dxa"/>
            <w:tcBorders>
              <w:top w:val="nil"/>
              <w:left w:val="nil"/>
              <w:bottom w:val="single" w:color="auto" w:sz="4" w:space="0"/>
              <w:right w:val="single" w:color="auto" w:sz="4" w:space="0"/>
            </w:tcBorders>
            <w:shd w:val="clear" w:color="auto" w:fill="auto"/>
            <w:vAlign w:val="center"/>
          </w:tcPr>
          <w:p w14:paraId="6D85A938">
            <w:pPr>
              <w:widowControl/>
              <w:jc w:val="left"/>
              <w:rPr>
                <w:rFonts w:ascii="宋体" w:hAnsi="宋体" w:cs="宋体"/>
                <w:kern w:val="0"/>
                <w:sz w:val="18"/>
                <w:szCs w:val="18"/>
              </w:rPr>
            </w:pPr>
            <w:r>
              <w:rPr>
                <w:rFonts w:hint="eastAsia" w:ascii="宋体" w:hAnsi="宋体" w:cs="宋体"/>
                <w:kern w:val="0"/>
                <w:sz w:val="18"/>
                <w:szCs w:val="18"/>
              </w:rPr>
              <w:t xml:space="preserve">       其中：上级财政资金</w:t>
            </w:r>
          </w:p>
        </w:tc>
        <w:tc>
          <w:tcPr>
            <w:tcW w:w="1360" w:type="dxa"/>
            <w:tcBorders>
              <w:top w:val="nil"/>
              <w:left w:val="nil"/>
              <w:bottom w:val="single" w:color="auto" w:sz="4" w:space="0"/>
              <w:right w:val="single" w:color="auto" w:sz="4" w:space="0"/>
            </w:tcBorders>
            <w:shd w:val="clear" w:color="auto" w:fill="auto"/>
            <w:vAlign w:val="center"/>
          </w:tcPr>
          <w:p w14:paraId="40DE9543">
            <w:pPr>
              <w:widowControl/>
              <w:jc w:val="center"/>
              <w:rPr>
                <w:rFonts w:ascii="宋体" w:hAnsi="宋体" w:cs="宋体"/>
                <w:kern w:val="0"/>
                <w:sz w:val="18"/>
                <w:szCs w:val="18"/>
              </w:rPr>
            </w:pPr>
            <w:r>
              <w:rPr>
                <w:rFonts w:hint="eastAsia" w:ascii="宋体" w:hAnsi="宋体" w:cs="宋体"/>
                <w:kern w:val="0"/>
                <w:sz w:val="18"/>
                <w:szCs w:val="18"/>
              </w:rPr>
              <w:t>　</w:t>
            </w:r>
          </w:p>
        </w:tc>
        <w:tc>
          <w:tcPr>
            <w:tcW w:w="1480" w:type="dxa"/>
            <w:tcBorders>
              <w:top w:val="nil"/>
              <w:left w:val="nil"/>
              <w:bottom w:val="single" w:color="auto" w:sz="4" w:space="0"/>
              <w:right w:val="single" w:color="auto" w:sz="4" w:space="0"/>
            </w:tcBorders>
            <w:shd w:val="clear" w:color="auto" w:fill="auto"/>
            <w:vAlign w:val="center"/>
          </w:tcPr>
          <w:p w14:paraId="48204885">
            <w:pPr>
              <w:widowControl/>
              <w:jc w:val="center"/>
              <w:rPr>
                <w:rFonts w:ascii="宋体" w:hAnsi="宋体" w:cs="宋体"/>
                <w:kern w:val="0"/>
                <w:sz w:val="18"/>
                <w:szCs w:val="18"/>
              </w:rPr>
            </w:pPr>
            <w:r>
              <w:rPr>
                <w:rFonts w:hint="eastAsia" w:ascii="宋体" w:hAnsi="宋体" w:cs="宋体"/>
                <w:kern w:val="0"/>
                <w:sz w:val="18"/>
                <w:szCs w:val="18"/>
              </w:rPr>
              <w:t>　</w:t>
            </w:r>
          </w:p>
        </w:tc>
        <w:tc>
          <w:tcPr>
            <w:tcW w:w="1760" w:type="dxa"/>
            <w:gridSpan w:val="2"/>
            <w:tcBorders>
              <w:top w:val="single" w:color="auto" w:sz="4" w:space="0"/>
              <w:left w:val="nil"/>
              <w:bottom w:val="single" w:color="auto" w:sz="4" w:space="0"/>
              <w:right w:val="single" w:color="000000" w:sz="4" w:space="0"/>
            </w:tcBorders>
            <w:shd w:val="clear" w:color="auto" w:fill="auto"/>
            <w:vAlign w:val="center"/>
          </w:tcPr>
          <w:p w14:paraId="66B4EE42">
            <w:pPr>
              <w:widowControl/>
              <w:jc w:val="center"/>
              <w:rPr>
                <w:rFonts w:ascii="宋体" w:hAnsi="宋体" w:cs="宋体"/>
                <w:kern w:val="0"/>
                <w:sz w:val="18"/>
                <w:szCs w:val="18"/>
              </w:rPr>
            </w:pPr>
            <w:r>
              <w:rPr>
                <w:rFonts w:hint="eastAsia" w:ascii="宋体" w:hAnsi="宋体" w:cs="宋体"/>
                <w:kern w:val="0"/>
                <w:sz w:val="18"/>
                <w:szCs w:val="18"/>
              </w:rPr>
              <w:t>　</w:t>
            </w:r>
          </w:p>
        </w:tc>
      </w:tr>
      <w:tr w14:paraId="1B912A7B">
        <w:tblPrEx>
          <w:tblCellMar>
            <w:top w:w="0" w:type="dxa"/>
            <w:left w:w="108" w:type="dxa"/>
            <w:bottom w:w="0" w:type="dxa"/>
            <w:right w:w="108" w:type="dxa"/>
          </w:tblCellMar>
        </w:tblPrEx>
        <w:trPr>
          <w:trHeight w:val="439" w:hRule="atLeast"/>
        </w:trPr>
        <w:tc>
          <w:tcPr>
            <w:tcW w:w="2560" w:type="dxa"/>
            <w:gridSpan w:val="3"/>
            <w:vMerge w:val="continue"/>
            <w:tcBorders>
              <w:top w:val="single" w:color="auto" w:sz="4" w:space="0"/>
              <w:left w:val="single" w:color="auto" w:sz="4" w:space="0"/>
              <w:bottom w:val="single" w:color="auto" w:sz="4" w:space="0"/>
              <w:right w:val="single" w:color="auto" w:sz="4" w:space="0"/>
            </w:tcBorders>
            <w:vAlign w:val="center"/>
          </w:tcPr>
          <w:p w14:paraId="65981E30">
            <w:pPr>
              <w:widowControl/>
              <w:jc w:val="left"/>
              <w:rPr>
                <w:rFonts w:ascii="宋体" w:hAnsi="宋体" w:cs="宋体"/>
                <w:kern w:val="0"/>
                <w:sz w:val="18"/>
                <w:szCs w:val="18"/>
              </w:rPr>
            </w:pPr>
          </w:p>
        </w:tc>
        <w:tc>
          <w:tcPr>
            <w:tcW w:w="2460" w:type="dxa"/>
            <w:tcBorders>
              <w:top w:val="nil"/>
              <w:left w:val="nil"/>
              <w:bottom w:val="single" w:color="auto" w:sz="4" w:space="0"/>
              <w:right w:val="single" w:color="auto" w:sz="4" w:space="0"/>
            </w:tcBorders>
            <w:shd w:val="clear" w:color="auto" w:fill="auto"/>
            <w:vAlign w:val="center"/>
          </w:tcPr>
          <w:p w14:paraId="20FA809A">
            <w:pPr>
              <w:widowControl/>
              <w:jc w:val="left"/>
              <w:rPr>
                <w:rFonts w:ascii="宋体" w:hAnsi="宋体" w:cs="宋体"/>
                <w:kern w:val="0"/>
                <w:sz w:val="18"/>
                <w:szCs w:val="18"/>
              </w:rPr>
            </w:pPr>
            <w:r>
              <w:rPr>
                <w:rFonts w:hint="eastAsia" w:ascii="宋体" w:hAnsi="宋体" w:cs="宋体"/>
                <w:kern w:val="0"/>
                <w:sz w:val="18"/>
                <w:szCs w:val="18"/>
              </w:rPr>
              <w:t xml:space="preserve">             本级财政资金</w:t>
            </w:r>
          </w:p>
        </w:tc>
        <w:tc>
          <w:tcPr>
            <w:tcW w:w="1360" w:type="dxa"/>
            <w:tcBorders>
              <w:top w:val="nil"/>
              <w:left w:val="nil"/>
              <w:bottom w:val="single" w:color="auto" w:sz="4" w:space="0"/>
              <w:right w:val="single" w:color="auto" w:sz="4" w:space="0"/>
            </w:tcBorders>
            <w:shd w:val="clear" w:color="auto" w:fill="auto"/>
            <w:vAlign w:val="center"/>
          </w:tcPr>
          <w:p w14:paraId="4945BD38">
            <w:pPr>
              <w:widowControl/>
              <w:jc w:val="center"/>
              <w:rPr>
                <w:rFonts w:ascii="宋体" w:hAnsi="宋体" w:cs="宋体"/>
                <w:kern w:val="0"/>
                <w:sz w:val="18"/>
                <w:szCs w:val="18"/>
              </w:rPr>
            </w:pPr>
            <w:r>
              <w:rPr>
                <w:rFonts w:hint="eastAsia" w:ascii="宋体" w:hAnsi="宋体" w:cs="宋体"/>
                <w:kern w:val="0"/>
                <w:sz w:val="18"/>
                <w:szCs w:val="18"/>
              </w:rPr>
              <w:t>35.37</w:t>
            </w:r>
          </w:p>
        </w:tc>
        <w:tc>
          <w:tcPr>
            <w:tcW w:w="1480" w:type="dxa"/>
            <w:tcBorders>
              <w:top w:val="nil"/>
              <w:left w:val="nil"/>
              <w:bottom w:val="single" w:color="auto" w:sz="4" w:space="0"/>
              <w:right w:val="single" w:color="auto" w:sz="4" w:space="0"/>
            </w:tcBorders>
            <w:shd w:val="clear" w:color="auto" w:fill="auto"/>
            <w:vAlign w:val="center"/>
          </w:tcPr>
          <w:p w14:paraId="547A5CD0">
            <w:pPr>
              <w:widowControl/>
              <w:jc w:val="center"/>
              <w:rPr>
                <w:rFonts w:ascii="宋体" w:hAnsi="宋体" w:cs="宋体"/>
                <w:kern w:val="0"/>
                <w:sz w:val="18"/>
                <w:szCs w:val="18"/>
              </w:rPr>
            </w:pPr>
            <w:r>
              <w:rPr>
                <w:rFonts w:hint="eastAsia" w:ascii="宋体" w:hAnsi="宋体" w:cs="宋体"/>
                <w:kern w:val="0"/>
                <w:sz w:val="18"/>
                <w:szCs w:val="18"/>
              </w:rPr>
              <w:t>93.37</w:t>
            </w:r>
          </w:p>
        </w:tc>
        <w:tc>
          <w:tcPr>
            <w:tcW w:w="1760" w:type="dxa"/>
            <w:gridSpan w:val="2"/>
            <w:tcBorders>
              <w:top w:val="single" w:color="auto" w:sz="4" w:space="0"/>
              <w:left w:val="nil"/>
              <w:bottom w:val="single" w:color="auto" w:sz="4" w:space="0"/>
              <w:right w:val="single" w:color="000000" w:sz="4" w:space="0"/>
            </w:tcBorders>
            <w:shd w:val="clear" w:color="auto" w:fill="auto"/>
            <w:vAlign w:val="center"/>
          </w:tcPr>
          <w:p w14:paraId="75FE2B7A">
            <w:pPr>
              <w:widowControl/>
              <w:jc w:val="center"/>
              <w:rPr>
                <w:rFonts w:ascii="宋体" w:hAnsi="宋体" w:cs="宋体"/>
                <w:kern w:val="0"/>
                <w:sz w:val="18"/>
                <w:szCs w:val="18"/>
              </w:rPr>
            </w:pPr>
            <w:r>
              <w:rPr>
                <w:rFonts w:hint="eastAsia" w:ascii="宋体" w:hAnsi="宋体" w:cs="宋体"/>
                <w:kern w:val="0"/>
                <w:sz w:val="18"/>
                <w:szCs w:val="18"/>
              </w:rPr>
              <w:t>264%</w:t>
            </w:r>
          </w:p>
        </w:tc>
      </w:tr>
      <w:tr w14:paraId="281D4E99">
        <w:tblPrEx>
          <w:tblCellMar>
            <w:top w:w="0" w:type="dxa"/>
            <w:left w:w="108" w:type="dxa"/>
            <w:bottom w:w="0" w:type="dxa"/>
            <w:right w:w="108" w:type="dxa"/>
          </w:tblCellMar>
        </w:tblPrEx>
        <w:trPr>
          <w:trHeight w:val="439" w:hRule="atLeast"/>
        </w:trPr>
        <w:tc>
          <w:tcPr>
            <w:tcW w:w="2560" w:type="dxa"/>
            <w:gridSpan w:val="3"/>
            <w:vMerge w:val="continue"/>
            <w:tcBorders>
              <w:top w:val="single" w:color="auto" w:sz="4" w:space="0"/>
              <w:left w:val="single" w:color="auto" w:sz="4" w:space="0"/>
              <w:bottom w:val="single" w:color="auto" w:sz="4" w:space="0"/>
              <w:right w:val="single" w:color="auto" w:sz="4" w:space="0"/>
            </w:tcBorders>
            <w:vAlign w:val="center"/>
          </w:tcPr>
          <w:p w14:paraId="4B3735E7">
            <w:pPr>
              <w:widowControl/>
              <w:jc w:val="left"/>
              <w:rPr>
                <w:rFonts w:ascii="宋体" w:hAnsi="宋体" w:cs="宋体"/>
                <w:kern w:val="0"/>
                <w:sz w:val="18"/>
                <w:szCs w:val="18"/>
              </w:rPr>
            </w:pPr>
          </w:p>
        </w:tc>
        <w:tc>
          <w:tcPr>
            <w:tcW w:w="2460" w:type="dxa"/>
            <w:tcBorders>
              <w:top w:val="nil"/>
              <w:left w:val="nil"/>
              <w:bottom w:val="single" w:color="auto" w:sz="4" w:space="0"/>
              <w:right w:val="single" w:color="auto" w:sz="4" w:space="0"/>
            </w:tcBorders>
            <w:shd w:val="clear" w:color="auto" w:fill="auto"/>
            <w:vAlign w:val="center"/>
          </w:tcPr>
          <w:p w14:paraId="2FFD5A16">
            <w:pPr>
              <w:widowControl/>
              <w:jc w:val="left"/>
              <w:rPr>
                <w:rFonts w:ascii="宋体" w:hAnsi="宋体" w:cs="宋体"/>
                <w:kern w:val="0"/>
                <w:sz w:val="18"/>
                <w:szCs w:val="18"/>
              </w:rPr>
            </w:pPr>
            <w:r>
              <w:rPr>
                <w:rFonts w:hint="eastAsia" w:ascii="宋体" w:hAnsi="宋体" w:cs="宋体"/>
                <w:kern w:val="0"/>
                <w:sz w:val="18"/>
                <w:szCs w:val="18"/>
              </w:rPr>
              <w:t xml:space="preserve">             其他资金</w:t>
            </w:r>
          </w:p>
        </w:tc>
        <w:tc>
          <w:tcPr>
            <w:tcW w:w="1360" w:type="dxa"/>
            <w:tcBorders>
              <w:top w:val="nil"/>
              <w:left w:val="nil"/>
              <w:bottom w:val="single" w:color="auto" w:sz="4" w:space="0"/>
              <w:right w:val="single" w:color="auto" w:sz="4" w:space="0"/>
            </w:tcBorders>
            <w:shd w:val="clear" w:color="auto" w:fill="auto"/>
            <w:vAlign w:val="center"/>
          </w:tcPr>
          <w:p w14:paraId="73CB77EF">
            <w:pPr>
              <w:widowControl/>
              <w:jc w:val="left"/>
              <w:rPr>
                <w:rFonts w:ascii="宋体" w:hAnsi="宋体" w:cs="宋体"/>
                <w:kern w:val="0"/>
                <w:sz w:val="18"/>
                <w:szCs w:val="18"/>
              </w:rPr>
            </w:pPr>
            <w:r>
              <w:rPr>
                <w:rFonts w:hint="eastAsia" w:ascii="宋体" w:hAnsi="宋体" w:cs="宋体"/>
                <w:kern w:val="0"/>
                <w:sz w:val="18"/>
                <w:szCs w:val="18"/>
              </w:rPr>
              <w:t>　</w:t>
            </w:r>
          </w:p>
        </w:tc>
        <w:tc>
          <w:tcPr>
            <w:tcW w:w="1480" w:type="dxa"/>
            <w:tcBorders>
              <w:top w:val="nil"/>
              <w:left w:val="nil"/>
              <w:bottom w:val="single" w:color="auto" w:sz="4" w:space="0"/>
              <w:right w:val="single" w:color="auto" w:sz="4" w:space="0"/>
            </w:tcBorders>
            <w:shd w:val="clear" w:color="auto" w:fill="auto"/>
            <w:vAlign w:val="center"/>
          </w:tcPr>
          <w:p w14:paraId="1711030A">
            <w:pPr>
              <w:widowControl/>
              <w:jc w:val="left"/>
              <w:rPr>
                <w:rFonts w:ascii="宋体" w:hAnsi="宋体" w:cs="宋体"/>
                <w:kern w:val="0"/>
                <w:sz w:val="18"/>
                <w:szCs w:val="18"/>
              </w:rPr>
            </w:pPr>
            <w:r>
              <w:rPr>
                <w:rFonts w:hint="eastAsia" w:ascii="宋体" w:hAnsi="宋体" w:cs="宋体"/>
                <w:kern w:val="0"/>
                <w:sz w:val="18"/>
                <w:szCs w:val="18"/>
              </w:rPr>
              <w:t>　</w:t>
            </w:r>
          </w:p>
        </w:tc>
        <w:tc>
          <w:tcPr>
            <w:tcW w:w="1760" w:type="dxa"/>
            <w:gridSpan w:val="2"/>
            <w:tcBorders>
              <w:top w:val="single" w:color="auto" w:sz="4" w:space="0"/>
              <w:left w:val="nil"/>
              <w:bottom w:val="single" w:color="auto" w:sz="4" w:space="0"/>
              <w:right w:val="single" w:color="000000" w:sz="4" w:space="0"/>
            </w:tcBorders>
            <w:shd w:val="clear" w:color="auto" w:fill="auto"/>
            <w:vAlign w:val="center"/>
          </w:tcPr>
          <w:p w14:paraId="5BEA3436">
            <w:pPr>
              <w:widowControl/>
              <w:jc w:val="center"/>
              <w:rPr>
                <w:rFonts w:ascii="宋体" w:hAnsi="宋体" w:cs="宋体"/>
                <w:kern w:val="0"/>
                <w:sz w:val="18"/>
                <w:szCs w:val="18"/>
              </w:rPr>
            </w:pPr>
            <w:r>
              <w:rPr>
                <w:rFonts w:hint="eastAsia" w:ascii="宋体" w:hAnsi="宋体" w:cs="宋体"/>
                <w:kern w:val="0"/>
                <w:sz w:val="18"/>
                <w:szCs w:val="18"/>
              </w:rPr>
              <w:t>　</w:t>
            </w:r>
          </w:p>
        </w:tc>
      </w:tr>
      <w:tr w14:paraId="5C7D5C8F">
        <w:tblPrEx>
          <w:tblCellMar>
            <w:top w:w="0" w:type="dxa"/>
            <w:left w:w="108" w:type="dxa"/>
            <w:bottom w:w="0" w:type="dxa"/>
            <w:right w:w="108" w:type="dxa"/>
          </w:tblCellMar>
        </w:tblPrEx>
        <w:trPr>
          <w:trHeight w:val="439"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1796C84B">
            <w:pPr>
              <w:widowControl/>
              <w:jc w:val="center"/>
              <w:rPr>
                <w:rFonts w:ascii="宋体" w:hAnsi="宋体" w:cs="宋体"/>
                <w:kern w:val="0"/>
                <w:sz w:val="18"/>
                <w:szCs w:val="18"/>
              </w:rPr>
            </w:pPr>
            <w:r>
              <w:rPr>
                <w:rFonts w:hint="eastAsia" w:ascii="宋体" w:hAnsi="宋体" w:cs="宋体"/>
                <w:kern w:val="0"/>
                <w:sz w:val="18"/>
                <w:szCs w:val="18"/>
              </w:rPr>
              <w:t>总</w:t>
            </w:r>
            <w:r>
              <w:rPr>
                <w:rFonts w:hint="eastAsia" w:ascii="宋体" w:hAnsi="宋体" w:cs="宋体"/>
                <w:kern w:val="0"/>
                <w:sz w:val="18"/>
                <w:szCs w:val="18"/>
              </w:rPr>
              <w:br w:type="textWrapping"/>
            </w:r>
            <w:r>
              <w:rPr>
                <w:rFonts w:hint="eastAsia" w:ascii="宋体" w:hAnsi="宋体" w:cs="宋体"/>
                <w:kern w:val="0"/>
                <w:sz w:val="18"/>
                <w:szCs w:val="18"/>
              </w:rPr>
              <w:t>体</w:t>
            </w:r>
            <w:r>
              <w:rPr>
                <w:rFonts w:hint="eastAsia" w:ascii="宋体" w:hAnsi="宋体" w:cs="宋体"/>
                <w:kern w:val="0"/>
                <w:sz w:val="18"/>
                <w:szCs w:val="18"/>
              </w:rPr>
              <w:br w:type="textWrapping"/>
            </w:r>
            <w:r>
              <w:rPr>
                <w:rFonts w:hint="eastAsia" w:ascii="宋体" w:hAnsi="宋体" w:cs="宋体"/>
                <w:kern w:val="0"/>
                <w:sz w:val="18"/>
                <w:szCs w:val="18"/>
              </w:rPr>
              <w:t>目</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4280" w:type="dxa"/>
            <w:gridSpan w:val="3"/>
            <w:tcBorders>
              <w:top w:val="single" w:color="auto" w:sz="4" w:space="0"/>
              <w:left w:val="nil"/>
              <w:bottom w:val="single" w:color="auto" w:sz="4" w:space="0"/>
              <w:right w:val="single" w:color="auto" w:sz="4" w:space="0"/>
            </w:tcBorders>
            <w:shd w:val="clear" w:color="auto" w:fill="auto"/>
            <w:vAlign w:val="center"/>
          </w:tcPr>
          <w:p w14:paraId="2F342B35">
            <w:pPr>
              <w:widowControl/>
              <w:jc w:val="center"/>
              <w:rPr>
                <w:rFonts w:ascii="宋体" w:hAnsi="宋体" w:cs="宋体"/>
                <w:kern w:val="0"/>
                <w:sz w:val="18"/>
                <w:szCs w:val="18"/>
              </w:rPr>
            </w:pPr>
            <w:r>
              <w:rPr>
                <w:rFonts w:hint="eastAsia" w:ascii="宋体" w:hAnsi="宋体" w:cs="宋体"/>
                <w:kern w:val="0"/>
                <w:sz w:val="18"/>
                <w:szCs w:val="18"/>
              </w:rPr>
              <w:t>年度设定目标</w:t>
            </w:r>
          </w:p>
        </w:tc>
        <w:tc>
          <w:tcPr>
            <w:tcW w:w="4600" w:type="dxa"/>
            <w:gridSpan w:val="4"/>
            <w:tcBorders>
              <w:top w:val="single" w:color="auto" w:sz="4" w:space="0"/>
              <w:left w:val="nil"/>
              <w:bottom w:val="single" w:color="auto" w:sz="4" w:space="0"/>
              <w:right w:val="single" w:color="auto" w:sz="4" w:space="0"/>
            </w:tcBorders>
            <w:shd w:val="clear" w:color="auto" w:fill="auto"/>
            <w:vAlign w:val="center"/>
          </w:tcPr>
          <w:p w14:paraId="78DB3F74">
            <w:pPr>
              <w:widowControl/>
              <w:jc w:val="center"/>
              <w:rPr>
                <w:rFonts w:ascii="宋体" w:hAnsi="宋体" w:cs="宋体"/>
                <w:kern w:val="0"/>
                <w:sz w:val="18"/>
                <w:szCs w:val="18"/>
              </w:rPr>
            </w:pPr>
            <w:r>
              <w:rPr>
                <w:rFonts w:hint="eastAsia" w:ascii="宋体" w:hAnsi="宋体" w:cs="宋体"/>
                <w:kern w:val="0"/>
                <w:sz w:val="18"/>
                <w:szCs w:val="18"/>
              </w:rPr>
              <w:t>实际完成情况</w:t>
            </w:r>
          </w:p>
        </w:tc>
      </w:tr>
      <w:tr w14:paraId="73665852">
        <w:tblPrEx>
          <w:tblCellMar>
            <w:top w:w="0" w:type="dxa"/>
            <w:left w:w="108" w:type="dxa"/>
            <w:bottom w:w="0" w:type="dxa"/>
            <w:right w:w="108" w:type="dxa"/>
          </w:tblCellMar>
        </w:tblPrEx>
        <w:trPr>
          <w:trHeight w:val="1305" w:hRule="atLeast"/>
        </w:trPr>
        <w:tc>
          <w:tcPr>
            <w:tcW w:w="740" w:type="dxa"/>
            <w:vMerge w:val="continue"/>
            <w:tcBorders>
              <w:top w:val="nil"/>
              <w:left w:val="single" w:color="auto" w:sz="4" w:space="0"/>
              <w:bottom w:val="single" w:color="auto" w:sz="4" w:space="0"/>
              <w:right w:val="single" w:color="auto" w:sz="4" w:space="0"/>
            </w:tcBorders>
            <w:vAlign w:val="center"/>
          </w:tcPr>
          <w:p w14:paraId="514C16E5">
            <w:pPr>
              <w:widowControl/>
              <w:jc w:val="left"/>
              <w:rPr>
                <w:rFonts w:ascii="宋体" w:hAnsi="宋体" w:cs="宋体"/>
                <w:kern w:val="0"/>
                <w:sz w:val="18"/>
                <w:szCs w:val="18"/>
              </w:rPr>
            </w:pPr>
          </w:p>
        </w:tc>
        <w:tc>
          <w:tcPr>
            <w:tcW w:w="4280" w:type="dxa"/>
            <w:gridSpan w:val="3"/>
            <w:tcBorders>
              <w:top w:val="single" w:color="auto" w:sz="4" w:space="0"/>
              <w:left w:val="nil"/>
              <w:bottom w:val="single" w:color="auto" w:sz="4" w:space="0"/>
              <w:right w:val="single" w:color="auto" w:sz="4" w:space="0"/>
            </w:tcBorders>
            <w:shd w:val="clear" w:color="auto" w:fill="auto"/>
          </w:tcPr>
          <w:p w14:paraId="4F74BCE8">
            <w:pPr>
              <w:widowControl/>
              <w:jc w:val="center"/>
              <w:rPr>
                <w:rFonts w:ascii="宋体" w:hAnsi="宋体" w:cs="宋体"/>
                <w:kern w:val="0"/>
                <w:sz w:val="18"/>
                <w:szCs w:val="18"/>
              </w:rPr>
            </w:pPr>
            <w:r>
              <w:rPr>
                <w:rFonts w:hint="eastAsia" w:ascii="宋体" w:hAnsi="宋体" w:cs="宋体"/>
                <w:kern w:val="0"/>
                <w:sz w:val="18"/>
                <w:szCs w:val="18"/>
              </w:rPr>
              <w:t>统筹做好全市工业招商引资工作，完成市领导交办的关于招商引资的重大活动及会议，指导、组织县（区）、钒钛高新区赴外开展招商引资活动，组织市级相关单位以及企业参加省内外举办的展会、博览会等重大活动，做好来攀工业企业考察对接接待工作。</w:t>
            </w:r>
          </w:p>
        </w:tc>
        <w:tc>
          <w:tcPr>
            <w:tcW w:w="4600" w:type="dxa"/>
            <w:gridSpan w:val="4"/>
            <w:tcBorders>
              <w:top w:val="single" w:color="auto" w:sz="4" w:space="0"/>
              <w:left w:val="nil"/>
              <w:bottom w:val="single" w:color="auto" w:sz="4" w:space="0"/>
              <w:right w:val="single" w:color="auto" w:sz="4" w:space="0"/>
            </w:tcBorders>
            <w:shd w:val="clear" w:color="auto" w:fill="auto"/>
          </w:tcPr>
          <w:p w14:paraId="7271B183">
            <w:pPr>
              <w:widowControl/>
              <w:jc w:val="center"/>
              <w:rPr>
                <w:rFonts w:ascii="宋体" w:hAnsi="宋体" w:cs="宋体"/>
                <w:kern w:val="0"/>
                <w:sz w:val="18"/>
                <w:szCs w:val="18"/>
              </w:rPr>
            </w:pPr>
            <w:r>
              <w:rPr>
                <w:rFonts w:hint="eastAsia" w:ascii="宋体" w:hAnsi="宋体" w:cs="宋体"/>
                <w:kern w:val="0"/>
                <w:sz w:val="18"/>
                <w:szCs w:val="18"/>
              </w:rPr>
              <w:t>完成了年度设定目标，统筹做好全市工业招商引资工作，完成市领导交办的关于招商引资的重大活动及会议，指导、组织县（区）、钒钛高新区赴外开展招商引资活动，组织市级相关单位以及企业参加省内外举办的展会、博览会等重大活动，做好来攀工业企业考察对接接待工作。</w:t>
            </w:r>
          </w:p>
        </w:tc>
      </w:tr>
      <w:tr w14:paraId="69D0D651">
        <w:tblPrEx>
          <w:tblCellMar>
            <w:top w:w="0" w:type="dxa"/>
            <w:left w:w="108" w:type="dxa"/>
            <w:bottom w:w="0" w:type="dxa"/>
            <w:right w:w="108" w:type="dxa"/>
          </w:tblCellMar>
        </w:tblPrEx>
        <w:trPr>
          <w:trHeight w:val="72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2A0816AA">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740" w:type="dxa"/>
            <w:tcBorders>
              <w:top w:val="nil"/>
              <w:left w:val="nil"/>
              <w:bottom w:val="single" w:color="auto" w:sz="4" w:space="0"/>
              <w:right w:val="single" w:color="auto" w:sz="4" w:space="0"/>
            </w:tcBorders>
            <w:shd w:val="clear" w:color="auto" w:fill="auto"/>
            <w:vAlign w:val="center"/>
          </w:tcPr>
          <w:p w14:paraId="19505766">
            <w:pPr>
              <w:widowControl/>
              <w:jc w:val="center"/>
              <w:rPr>
                <w:rFonts w:ascii="宋体" w:hAnsi="宋体" w:cs="宋体"/>
                <w:kern w:val="0"/>
                <w:sz w:val="18"/>
                <w:szCs w:val="18"/>
              </w:rPr>
            </w:pPr>
            <w:r>
              <w:rPr>
                <w:rFonts w:hint="eastAsia" w:ascii="宋体" w:hAnsi="宋体" w:cs="宋体"/>
                <w:kern w:val="0"/>
                <w:sz w:val="18"/>
                <w:szCs w:val="18"/>
              </w:rPr>
              <w:t>一级</w:t>
            </w:r>
            <w:r>
              <w:rPr>
                <w:rFonts w:hint="eastAsia" w:ascii="宋体" w:hAnsi="宋体" w:cs="宋体"/>
                <w:kern w:val="0"/>
                <w:sz w:val="18"/>
                <w:szCs w:val="18"/>
              </w:rPr>
              <w:br w:type="textWrapping"/>
            </w:r>
            <w:r>
              <w:rPr>
                <w:rFonts w:hint="eastAsia" w:ascii="宋体" w:hAnsi="宋体" w:cs="宋体"/>
                <w:kern w:val="0"/>
                <w:sz w:val="18"/>
                <w:szCs w:val="18"/>
              </w:rPr>
              <w:t>指标</w:t>
            </w:r>
          </w:p>
        </w:tc>
        <w:tc>
          <w:tcPr>
            <w:tcW w:w="1080" w:type="dxa"/>
            <w:tcBorders>
              <w:top w:val="nil"/>
              <w:left w:val="nil"/>
              <w:bottom w:val="single" w:color="auto" w:sz="4" w:space="0"/>
              <w:right w:val="single" w:color="auto" w:sz="4" w:space="0"/>
            </w:tcBorders>
            <w:shd w:val="clear" w:color="auto" w:fill="auto"/>
            <w:vAlign w:val="center"/>
          </w:tcPr>
          <w:p w14:paraId="4CE5ABDA">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460" w:type="dxa"/>
            <w:tcBorders>
              <w:top w:val="nil"/>
              <w:left w:val="nil"/>
              <w:bottom w:val="single" w:color="auto" w:sz="4" w:space="0"/>
              <w:right w:val="single" w:color="auto" w:sz="4" w:space="0"/>
            </w:tcBorders>
            <w:shd w:val="clear" w:color="auto" w:fill="auto"/>
            <w:vAlign w:val="center"/>
          </w:tcPr>
          <w:p w14:paraId="67855191">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1360" w:type="dxa"/>
            <w:tcBorders>
              <w:top w:val="nil"/>
              <w:left w:val="nil"/>
              <w:bottom w:val="single" w:color="auto" w:sz="4" w:space="0"/>
              <w:right w:val="single" w:color="auto" w:sz="4" w:space="0"/>
            </w:tcBorders>
            <w:shd w:val="clear" w:color="auto" w:fill="auto"/>
            <w:vAlign w:val="center"/>
          </w:tcPr>
          <w:p w14:paraId="6FD79E6B">
            <w:pPr>
              <w:widowControl/>
              <w:jc w:val="center"/>
              <w:rPr>
                <w:rFonts w:ascii="宋体" w:hAnsi="宋体" w:cs="宋体"/>
                <w:kern w:val="0"/>
                <w:sz w:val="18"/>
                <w:szCs w:val="18"/>
              </w:rPr>
            </w:pPr>
            <w:r>
              <w:rPr>
                <w:rFonts w:hint="eastAsia" w:ascii="宋体" w:hAnsi="宋体" w:cs="宋体"/>
                <w:kern w:val="0"/>
                <w:sz w:val="18"/>
                <w:szCs w:val="18"/>
              </w:rPr>
              <w:t>年度指标值</w:t>
            </w:r>
          </w:p>
        </w:tc>
        <w:tc>
          <w:tcPr>
            <w:tcW w:w="1480" w:type="dxa"/>
            <w:tcBorders>
              <w:top w:val="nil"/>
              <w:left w:val="nil"/>
              <w:bottom w:val="single" w:color="auto" w:sz="4" w:space="0"/>
              <w:right w:val="single" w:color="auto" w:sz="4" w:space="0"/>
            </w:tcBorders>
            <w:shd w:val="clear" w:color="auto" w:fill="auto"/>
            <w:vAlign w:val="center"/>
          </w:tcPr>
          <w:p w14:paraId="737052B4">
            <w:pPr>
              <w:widowControl/>
              <w:jc w:val="center"/>
              <w:rPr>
                <w:rFonts w:ascii="宋体" w:hAnsi="宋体" w:cs="宋体"/>
                <w:kern w:val="0"/>
                <w:sz w:val="18"/>
                <w:szCs w:val="18"/>
              </w:rPr>
            </w:pPr>
            <w:r>
              <w:rPr>
                <w:rFonts w:hint="eastAsia" w:ascii="宋体" w:hAnsi="宋体" w:cs="宋体"/>
                <w:kern w:val="0"/>
                <w:sz w:val="18"/>
                <w:szCs w:val="18"/>
              </w:rPr>
              <w:t>实际完成数</w:t>
            </w:r>
          </w:p>
        </w:tc>
        <w:tc>
          <w:tcPr>
            <w:tcW w:w="700" w:type="dxa"/>
            <w:tcBorders>
              <w:top w:val="nil"/>
              <w:left w:val="nil"/>
              <w:bottom w:val="single" w:color="auto" w:sz="4" w:space="0"/>
              <w:right w:val="single" w:color="auto" w:sz="4" w:space="0"/>
            </w:tcBorders>
            <w:shd w:val="clear" w:color="auto" w:fill="auto"/>
            <w:vAlign w:val="center"/>
          </w:tcPr>
          <w:p w14:paraId="1490AA9B">
            <w:pPr>
              <w:widowControl/>
              <w:jc w:val="center"/>
              <w:rPr>
                <w:rFonts w:ascii="宋体" w:hAnsi="宋体" w:cs="宋体"/>
                <w:kern w:val="0"/>
                <w:sz w:val="18"/>
                <w:szCs w:val="18"/>
              </w:rPr>
            </w:pPr>
            <w:r>
              <w:rPr>
                <w:rFonts w:hint="eastAsia" w:ascii="宋体" w:hAnsi="宋体" w:cs="宋体"/>
                <w:kern w:val="0"/>
                <w:sz w:val="18"/>
                <w:szCs w:val="18"/>
              </w:rPr>
              <w:t>完成率（%）</w:t>
            </w:r>
          </w:p>
        </w:tc>
        <w:tc>
          <w:tcPr>
            <w:tcW w:w="1060" w:type="dxa"/>
            <w:tcBorders>
              <w:top w:val="nil"/>
              <w:left w:val="nil"/>
              <w:bottom w:val="single" w:color="auto" w:sz="4" w:space="0"/>
              <w:right w:val="single" w:color="auto" w:sz="4" w:space="0"/>
            </w:tcBorders>
            <w:shd w:val="clear" w:color="auto" w:fill="auto"/>
            <w:vAlign w:val="center"/>
          </w:tcPr>
          <w:p w14:paraId="2B05BAAD">
            <w:pPr>
              <w:widowControl/>
              <w:jc w:val="left"/>
              <w:rPr>
                <w:rFonts w:ascii="宋体" w:hAnsi="宋体" w:cs="宋体"/>
                <w:kern w:val="0"/>
                <w:sz w:val="18"/>
                <w:szCs w:val="18"/>
              </w:rPr>
            </w:pPr>
            <w:r>
              <w:rPr>
                <w:rFonts w:hint="eastAsia" w:ascii="宋体" w:hAnsi="宋体" w:cs="宋体"/>
                <w:kern w:val="0"/>
                <w:sz w:val="18"/>
                <w:szCs w:val="18"/>
              </w:rPr>
              <w:t>未完成原因和改进措施</w:t>
            </w:r>
          </w:p>
        </w:tc>
      </w:tr>
      <w:tr w14:paraId="2E192637">
        <w:tblPrEx>
          <w:tblCellMar>
            <w:top w:w="0" w:type="dxa"/>
            <w:left w:w="108" w:type="dxa"/>
            <w:bottom w:w="0" w:type="dxa"/>
            <w:right w:w="108" w:type="dxa"/>
          </w:tblCellMar>
        </w:tblPrEx>
        <w:trPr>
          <w:trHeight w:val="435" w:hRule="atLeast"/>
        </w:trPr>
        <w:tc>
          <w:tcPr>
            <w:tcW w:w="740" w:type="dxa"/>
            <w:vMerge w:val="continue"/>
            <w:tcBorders>
              <w:top w:val="nil"/>
              <w:left w:val="single" w:color="auto" w:sz="4" w:space="0"/>
              <w:bottom w:val="single" w:color="auto" w:sz="4" w:space="0"/>
              <w:right w:val="single" w:color="auto" w:sz="4" w:space="0"/>
            </w:tcBorders>
            <w:vAlign w:val="center"/>
          </w:tcPr>
          <w:p w14:paraId="4E1082C5">
            <w:pPr>
              <w:widowControl/>
              <w:jc w:val="left"/>
              <w:rPr>
                <w:rFonts w:ascii="宋体" w:hAnsi="宋体" w:cs="宋体"/>
                <w:kern w:val="0"/>
                <w:sz w:val="18"/>
                <w:szCs w:val="18"/>
              </w:rPr>
            </w:pP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0DB70D8A">
            <w:pPr>
              <w:widowControl/>
              <w:jc w:val="center"/>
              <w:rPr>
                <w:rFonts w:ascii="宋体" w:hAnsi="宋体" w:cs="宋体"/>
                <w:kern w:val="0"/>
                <w:sz w:val="18"/>
                <w:szCs w:val="18"/>
              </w:rPr>
            </w:pPr>
            <w:r>
              <w:rPr>
                <w:rFonts w:hint="eastAsia" w:ascii="宋体" w:hAnsi="宋体" w:cs="宋体"/>
                <w:kern w:val="0"/>
                <w:sz w:val="18"/>
                <w:szCs w:val="18"/>
              </w:rPr>
              <w:t>项目完成</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060AEDD4">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460" w:type="dxa"/>
            <w:tcBorders>
              <w:top w:val="nil"/>
              <w:left w:val="nil"/>
              <w:bottom w:val="single" w:color="auto" w:sz="4" w:space="0"/>
              <w:right w:val="single" w:color="auto" w:sz="4" w:space="0"/>
            </w:tcBorders>
            <w:shd w:val="clear" w:color="auto" w:fill="auto"/>
            <w:vAlign w:val="center"/>
          </w:tcPr>
          <w:p w14:paraId="0EE9FAF7">
            <w:pPr>
              <w:widowControl/>
              <w:jc w:val="left"/>
              <w:rPr>
                <w:rFonts w:ascii="宋体" w:hAnsi="宋体" w:cs="宋体"/>
                <w:kern w:val="0"/>
                <w:sz w:val="18"/>
                <w:szCs w:val="18"/>
              </w:rPr>
            </w:pPr>
            <w:r>
              <w:rPr>
                <w:rFonts w:hint="eastAsia" w:ascii="宋体" w:hAnsi="宋体" w:cs="宋体"/>
                <w:kern w:val="0"/>
                <w:sz w:val="18"/>
                <w:szCs w:val="18"/>
              </w:rPr>
              <w:t xml:space="preserve"> 举办重大招商活动及会议</w:t>
            </w:r>
          </w:p>
        </w:tc>
        <w:tc>
          <w:tcPr>
            <w:tcW w:w="1360" w:type="dxa"/>
            <w:tcBorders>
              <w:top w:val="nil"/>
              <w:left w:val="nil"/>
              <w:bottom w:val="single" w:color="auto" w:sz="4" w:space="0"/>
              <w:right w:val="single" w:color="auto" w:sz="4" w:space="0"/>
            </w:tcBorders>
            <w:shd w:val="clear" w:color="auto" w:fill="auto"/>
            <w:vAlign w:val="center"/>
          </w:tcPr>
          <w:p w14:paraId="5AE94EBB">
            <w:pPr>
              <w:widowControl/>
              <w:jc w:val="left"/>
              <w:rPr>
                <w:rFonts w:ascii="宋体" w:hAnsi="宋体" w:cs="宋体"/>
                <w:kern w:val="0"/>
                <w:sz w:val="18"/>
                <w:szCs w:val="18"/>
              </w:rPr>
            </w:pPr>
            <w:r>
              <w:rPr>
                <w:rFonts w:hint="eastAsia" w:ascii="宋体" w:hAnsi="宋体" w:cs="宋体"/>
                <w:kern w:val="0"/>
                <w:sz w:val="18"/>
                <w:szCs w:val="18"/>
              </w:rPr>
              <w:t>20次</w:t>
            </w:r>
          </w:p>
        </w:tc>
        <w:tc>
          <w:tcPr>
            <w:tcW w:w="1480" w:type="dxa"/>
            <w:tcBorders>
              <w:top w:val="nil"/>
              <w:left w:val="nil"/>
              <w:bottom w:val="single" w:color="auto" w:sz="4" w:space="0"/>
              <w:right w:val="single" w:color="auto" w:sz="4" w:space="0"/>
            </w:tcBorders>
            <w:shd w:val="clear" w:color="auto" w:fill="auto"/>
            <w:vAlign w:val="center"/>
          </w:tcPr>
          <w:p w14:paraId="5E65AE3F">
            <w:pPr>
              <w:widowControl/>
              <w:jc w:val="left"/>
              <w:rPr>
                <w:rFonts w:ascii="宋体" w:hAnsi="宋体" w:cs="宋体"/>
                <w:kern w:val="0"/>
                <w:sz w:val="18"/>
                <w:szCs w:val="18"/>
              </w:rPr>
            </w:pPr>
            <w:r>
              <w:rPr>
                <w:rFonts w:hint="eastAsia" w:ascii="宋体" w:hAnsi="宋体" w:cs="宋体"/>
                <w:kern w:val="0"/>
                <w:sz w:val="18"/>
                <w:szCs w:val="18"/>
              </w:rPr>
              <w:t>20次</w:t>
            </w:r>
          </w:p>
        </w:tc>
        <w:tc>
          <w:tcPr>
            <w:tcW w:w="700" w:type="dxa"/>
            <w:tcBorders>
              <w:top w:val="nil"/>
              <w:left w:val="nil"/>
              <w:bottom w:val="single" w:color="auto" w:sz="4" w:space="0"/>
              <w:right w:val="single" w:color="auto" w:sz="4" w:space="0"/>
            </w:tcBorders>
            <w:shd w:val="clear" w:color="auto" w:fill="auto"/>
            <w:vAlign w:val="center"/>
          </w:tcPr>
          <w:p w14:paraId="21B79DD2">
            <w:pPr>
              <w:widowControl/>
              <w:jc w:val="center"/>
              <w:rPr>
                <w:rFonts w:ascii="宋体" w:hAnsi="宋体" w:cs="宋体"/>
                <w:kern w:val="0"/>
                <w:sz w:val="18"/>
                <w:szCs w:val="18"/>
              </w:rPr>
            </w:pPr>
            <w:r>
              <w:rPr>
                <w:rFonts w:hint="eastAsia" w:ascii="宋体" w:hAnsi="宋体" w:cs="宋体"/>
                <w:kern w:val="0"/>
                <w:sz w:val="18"/>
                <w:szCs w:val="18"/>
              </w:rPr>
              <w:t>100%</w:t>
            </w:r>
          </w:p>
        </w:tc>
        <w:tc>
          <w:tcPr>
            <w:tcW w:w="1060" w:type="dxa"/>
            <w:tcBorders>
              <w:top w:val="nil"/>
              <w:left w:val="nil"/>
              <w:bottom w:val="single" w:color="auto" w:sz="4" w:space="0"/>
              <w:right w:val="single" w:color="auto" w:sz="4" w:space="0"/>
            </w:tcBorders>
            <w:shd w:val="clear" w:color="auto" w:fill="auto"/>
            <w:vAlign w:val="center"/>
          </w:tcPr>
          <w:p w14:paraId="39149658">
            <w:pPr>
              <w:widowControl/>
              <w:jc w:val="left"/>
              <w:rPr>
                <w:rFonts w:ascii="宋体" w:hAnsi="宋体" w:cs="宋体"/>
                <w:kern w:val="0"/>
                <w:sz w:val="18"/>
                <w:szCs w:val="18"/>
              </w:rPr>
            </w:pPr>
            <w:r>
              <w:rPr>
                <w:rFonts w:hint="eastAsia" w:ascii="宋体" w:hAnsi="宋体" w:cs="宋体"/>
                <w:kern w:val="0"/>
                <w:sz w:val="18"/>
                <w:szCs w:val="18"/>
              </w:rPr>
              <w:t>　</w:t>
            </w:r>
          </w:p>
        </w:tc>
      </w:tr>
      <w:tr w14:paraId="5A527E96">
        <w:tblPrEx>
          <w:tblCellMar>
            <w:top w:w="0" w:type="dxa"/>
            <w:left w:w="108" w:type="dxa"/>
            <w:bottom w:w="0" w:type="dxa"/>
            <w:right w:w="108" w:type="dxa"/>
          </w:tblCellMar>
        </w:tblPrEx>
        <w:trPr>
          <w:trHeight w:val="435" w:hRule="atLeast"/>
        </w:trPr>
        <w:tc>
          <w:tcPr>
            <w:tcW w:w="740" w:type="dxa"/>
            <w:vMerge w:val="continue"/>
            <w:tcBorders>
              <w:top w:val="nil"/>
              <w:left w:val="single" w:color="auto" w:sz="4" w:space="0"/>
              <w:bottom w:val="single" w:color="auto" w:sz="4" w:space="0"/>
              <w:right w:val="single" w:color="auto" w:sz="4" w:space="0"/>
            </w:tcBorders>
            <w:vAlign w:val="center"/>
          </w:tcPr>
          <w:p w14:paraId="4D3F3F31">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589F127A">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14:paraId="449DAD16">
            <w:pPr>
              <w:widowControl/>
              <w:jc w:val="left"/>
              <w:rPr>
                <w:rFonts w:ascii="宋体" w:hAnsi="宋体" w:cs="宋体"/>
                <w:kern w:val="0"/>
                <w:sz w:val="18"/>
                <w:szCs w:val="18"/>
              </w:rPr>
            </w:pPr>
          </w:p>
        </w:tc>
        <w:tc>
          <w:tcPr>
            <w:tcW w:w="2460" w:type="dxa"/>
            <w:tcBorders>
              <w:top w:val="nil"/>
              <w:left w:val="nil"/>
              <w:bottom w:val="single" w:color="auto" w:sz="4" w:space="0"/>
              <w:right w:val="single" w:color="auto" w:sz="4" w:space="0"/>
            </w:tcBorders>
            <w:shd w:val="clear" w:color="auto" w:fill="auto"/>
            <w:vAlign w:val="center"/>
          </w:tcPr>
          <w:p w14:paraId="7DB5CBE2">
            <w:pPr>
              <w:widowControl/>
              <w:jc w:val="left"/>
              <w:rPr>
                <w:rFonts w:ascii="宋体" w:hAnsi="宋体" w:cs="宋体"/>
                <w:kern w:val="0"/>
                <w:sz w:val="18"/>
                <w:szCs w:val="18"/>
              </w:rPr>
            </w:pPr>
            <w:r>
              <w:rPr>
                <w:rFonts w:hint="eastAsia" w:ascii="宋体" w:hAnsi="宋体" w:cs="宋体"/>
                <w:kern w:val="0"/>
                <w:sz w:val="18"/>
                <w:szCs w:val="18"/>
              </w:rPr>
              <w:t xml:space="preserve"> 赴外招商活动</w:t>
            </w:r>
          </w:p>
        </w:tc>
        <w:tc>
          <w:tcPr>
            <w:tcW w:w="1360" w:type="dxa"/>
            <w:tcBorders>
              <w:top w:val="nil"/>
              <w:left w:val="nil"/>
              <w:bottom w:val="single" w:color="auto" w:sz="4" w:space="0"/>
              <w:right w:val="single" w:color="auto" w:sz="4" w:space="0"/>
            </w:tcBorders>
            <w:shd w:val="clear" w:color="auto" w:fill="auto"/>
            <w:vAlign w:val="center"/>
          </w:tcPr>
          <w:p w14:paraId="6E7394DA">
            <w:pPr>
              <w:widowControl/>
              <w:jc w:val="left"/>
              <w:rPr>
                <w:rFonts w:ascii="宋体" w:hAnsi="宋体" w:cs="宋体"/>
                <w:kern w:val="0"/>
                <w:sz w:val="18"/>
                <w:szCs w:val="18"/>
              </w:rPr>
            </w:pPr>
            <w:r>
              <w:rPr>
                <w:rFonts w:hint="eastAsia" w:ascii="宋体" w:hAnsi="宋体" w:cs="宋体"/>
                <w:kern w:val="0"/>
                <w:sz w:val="18"/>
                <w:szCs w:val="18"/>
              </w:rPr>
              <w:t>24批次</w:t>
            </w:r>
          </w:p>
        </w:tc>
        <w:tc>
          <w:tcPr>
            <w:tcW w:w="1480" w:type="dxa"/>
            <w:tcBorders>
              <w:top w:val="nil"/>
              <w:left w:val="nil"/>
              <w:bottom w:val="single" w:color="auto" w:sz="4" w:space="0"/>
              <w:right w:val="single" w:color="auto" w:sz="4" w:space="0"/>
            </w:tcBorders>
            <w:shd w:val="clear" w:color="auto" w:fill="auto"/>
            <w:vAlign w:val="center"/>
          </w:tcPr>
          <w:p w14:paraId="6DE85D7A">
            <w:pPr>
              <w:widowControl/>
              <w:jc w:val="left"/>
              <w:rPr>
                <w:rFonts w:ascii="宋体" w:hAnsi="宋体" w:cs="宋体"/>
                <w:kern w:val="0"/>
                <w:sz w:val="18"/>
                <w:szCs w:val="18"/>
              </w:rPr>
            </w:pPr>
            <w:r>
              <w:rPr>
                <w:rFonts w:hint="eastAsia" w:ascii="宋体" w:hAnsi="宋体" w:cs="宋体"/>
                <w:kern w:val="0"/>
                <w:sz w:val="18"/>
                <w:szCs w:val="18"/>
              </w:rPr>
              <w:t>24批次</w:t>
            </w:r>
          </w:p>
        </w:tc>
        <w:tc>
          <w:tcPr>
            <w:tcW w:w="700" w:type="dxa"/>
            <w:tcBorders>
              <w:top w:val="nil"/>
              <w:left w:val="nil"/>
              <w:bottom w:val="single" w:color="auto" w:sz="4" w:space="0"/>
              <w:right w:val="single" w:color="auto" w:sz="4" w:space="0"/>
            </w:tcBorders>
            <w:shd w:val="clear" w:color="auto" w:fill="auto"/>
            <w:vAlign w:val="center"/>
          </w:tcPr>
          <w:p w14:paraId="189AEB28">
            <w:pPr>
              <w:widowControl/>
              <w:jc w:val="center"/>
              <w:rPr>
                <w:rFonts w:ascii="宋体" w:hAnsi="宋体" w:cs="宋体"/>
                <w:kern w:val="0"/>
                <w:sz w:val="18"/>
                <w:szCs w:val="18"/>
              </w:rPr>
            </w:pPr>
            <w:r>
              <w:rPr>
                <w:rFonts w:hint="eastAsia" w:ascii="宋体" w:hAnsi="宋体" w:cs="宋体"/>
                <w:kern w:val="0"/>
                <w:sz w:val="18"/>
                <w:szCs w:val="18"/>
              </w:rPr>
              <w:t>100%</w:t>
            </w:r>
          </w:p>
        </w:tc>
        <w:tc>
          <w:tcPr>
            <w:tcW w:w="1060" w:type="dxa"/>
            <w:tcBorders>
              <w:top w:val="nil"/>
              <w:left w:val="nil"/>
              <w:bottom w:val="single" w:color="auto" w:sz="4" w:space="0"/>
              <w:right w:val="single" w:color="auto" w:sz="4" w:space="0"/>
            </w:tcBorders>
            <w:shd w:val="clear" w:color="auto" w:fill="auto"/>
            <w:vAlign w:val="center"/>
          </w:tcPr>
          <w:p w14:paraId="653A259F">
            <w:pPr>
              <w:widowControl/>
              <w:jc w:val="left"/>
              <w:rPr>
                <w:rFonts w:ascii="宋体" w:hAnsi="宋体" w:cs="宋体"/>
                <w:kern w:val="0"/>
                <w:sz w:val="18"/>
                <w:szCs w:val="18"/>
              </w:rPr>
            </w:pPr>
            <w:r>
              <w:rPr>
                <w:rFonts w:hint="eastAsia" w:ascii="宋体" w:hAnsi="宋体" w:cs="宋体"/>
                <w:kern w:val="0"/>
                <w:sz w:val="18"/>
                <w:szCs w:val="18"/>
              </w:rPr>
              <w:t>　</w:t>
            </w:r>
          </w:p>
        </w:tc>
      </w:tr>
      <w:tr w14:paraId="0DB439C9">
        <w:tblPrEx>
          <w:tblCellMar>
            <w:top w:w="0" w:type="dxa"/>
            <w:left w:w="108" w:type="dxa"/>
            <w:bottom w:w="0" w:type="dxa"/>
            <w:right w:w="108" w:type="dxa"/>
          </w:tblCellMar>
        </w:tblPrEx>
        <w:trPr>
          <w:trHeight w:val="435" w:hRule="atLeast"/>
        </w:trPr>
        <w:tc>
          <w:tcPr>
            <w:tcW w:w="740" w:type="dxa"/>
            <w:vMerge w:val="continue"/>
            <w:tcBorders>
              <w:top w:val="nil"/>
              <w:left w:val="single" w:color="auto" w:sz="4" w:space="0"/>
              <w:bottom w:val="single" w:color="auto" w:sz="4" w:space="0"/>
              <w:right w:val="single" w:color="auto" w:sz="4" w:space="0"/>
            </w:tcBorders>
            <w:vAlign w:val="center"/>
          </w:tcPr>
          <w:p w14:paraId="60170AFC">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3A3963D5">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14:paraId="054AED16">
            <w:pPr>
              <w:widowControl/>
              <w:jc w:val="left"/>
              <w:rPr>
                <w:rFonts w:ascii="宋体" w:hAnsi="宋体" w:cs="宋体"/>
                <w:kern w:val="0"/>
                <w:sz w:val="18"/>
                <w:szCs w:val="18"/>
              </w:rPr>
            </w:pPr>
          </w:p>
        </w:tc>
        <w:tc>
          <w:tcPr>
            <w:tcW w:w="2460" w:type="dxa"/>
            <w:tcBorders>
              <w:top w:val="nil"/>
              <w:left w:val="nil"/>
              <w:bottom w:val="single" w:color="auto" w:sz="4" w:space="0"/>
              <w:right w:val="single" w:color="auto" w:sz="4" w:space="0"/>
            </w:tcBorders>
            <w:shd w:val="clear" w:color="auto" w:fill="auto"/>
            <w:vAlign w:val="center"/>
          </w:tcPr>
          <w:p w14:paraId="16D25A75">
            <w:pPr>
              <w:widowControl/>
              <w:jc w:val="left"/>
              <w:rPr>
                <w:rFonts w:ascii="宋体" w:hAnsi="宋体" w:cs="宋体"/>
                <w:kern w:val="0"/>
                <w:sz w:val="18"/>
                <w:szCs w:val="18"/>
              </w:rPr>
            </w:pPr>
            <w:r>
              <w:rPr>
                <w:rFonts w:hint="eastAsia" w:ascii="宋体" w:hAnsi="宋体" w:cs="宋体"/>
                <w:kern w:val="0"/>
                <w:sz w:val="18"/>
                <w:szCs w:val="18"/>
              </w:rPr>
              <w:t xml:space="preserve"> 对接企业</w:t>
            </w:r>
          </w:p>
        </w:tc>
        <w:tc>
          <w:tcPr>
            <w:tcW w:w="1360" w:type="dxa"/>
            <w:tcBorders>
              <w:top w:val="nil"/>
              <w:left w:val="nil"/>
              <w:bottom w:val="single" w:color="auto" w:sz="4" w:space="0"/>
              <w:right w:val="single" w:color="auto" w:sz="4" w:space="0"/>
            </w:tcBorders>
            <w:shd w:val="clear" w:color="auto" w:fill="auto"/>
            <w:vAlign w:val="center"/>
          </w:tcPr>
          <w:p w14:paraId="7E2DFA52">
            <w:pPr>
              <w:widowControl/>
              <w:jc w:val="left"/>
              <w:rPr>
                <w:rFonts w:ascii="宋体" w:hAnsi="宋体" w:cs="宋体"/>
                <w:kern w:val="0"/>
                <w:sz w:val="18"/>
                <w:szCs w:val="18"/>
              </w:rPr>
            </w:pPr>
            <w:r>
              <w:rPr>
                <w:rFonts w:hint="eastAsia" w:ascii="宋体" w:hAnsi="宋体" w:cs="宋体"/>
                <w:kern w:val="0"/>
                <w:sz w:val="18"/>
                <w:szCs w:val="18"/>
              </w:rPr>
              <w:t>200人次</w:t>
            </w:r>
          </w:p>
        </w:tc>
        <w:tc>
          <w:tcPr>
            <w:tcW w:w="1480" w:type="dxa"/>
            <w:tcBorders>
              <w:top w:val="nil"/>
              <w:left w:val="nil"/>
              <w:bottom w:val="single" w:color="auto" w:sz="4" w:space="0"/>
              <w:right w:val="single" w:color="auto" w:sz="4" w:space="0"/>
            </w:tcBorders>
            <w:shd w:val="clear" w:color="auto" w:fill="auto"/>
            <w:vAlign w:val="center"/>
          </w:tcPr>
          <w:p w14:paraId="3A42C456">
            <w:pPr>
              <w:widowControl/>
              <w:jc w:val="left"/>
              <w:rPr>
                <w:rFonts w:ascii="宋体" w:hAnsi="宋体" w:cs="宋体"/>
                <w:kern w:val="0"/>
                <w:sz w:val="18"/>
                <w:szCs w:val="18"/>
              </w:rPr>
            </w:pPr>
            <w:r>
              <w:rPr>
                <w:rFonts w:hint="eastAsia" w:ascii="宋体" w:hAnsi="宋体" w:cs="宋体"/>
                <w:kern w:val="0"/>
                <w:sz w:val="18"/>
                <w:szCs w:val="18"/>
              </w:rPr>
              <w:t>200余人次</w:t>
            </w:r>
          </w:p>
        </w:tc>
        <w:tc>
          <w:tcPr>
            <w:tcW w:w="700" w:type="dxa"/>
            <w:tcBorders>
              <w:top w:val="nil"/>
              <w:left w:val="nil"/>
              <w:bottom w:val="single" w:color="auto" w:sz="4" w:space="0"/>
              <w:right w:val="single" w:color="auto" w:sz="4" w:space="0"/>
            </w:tcBorders>
            <w:shd w:val="clear" w:color="auto" w:fill="auto"/>
            <w:vAlign w:val="center"/>
          </w:tcPr>
          <w:p w14:paraId="1A789F75">
            <w:pPr>
              <w:widowControl/>
              <w:jc w:val="center"/>
              <w:rPr>
                <w:rFonts w:ascii="宋体" w:hAnsi="宋体" w:cs="宋体"/>
                <w:kern w:val="0"/>
                <w:sz w:val="18"/>
                <w:szCs w:val="18"/>
              </w:rPr>
            </w:pPr>
            <w:r>
              <w:rPr>
                <w:rFonts w:hint="eastAsia" w:ascii="宋体" w:hAnsi="宋体" w:cs="宋体"/>
                <w:kern w:val="0"/>
                <w:sz w:val="18"/>
                <w:szCs w:val="18"/>
              </w:rPr>
              <w:t>100%</w:t>
            </w:r>
          </w:p>
        </w:tc>
        <w:tc>
          <w:tcPr>
            <w:tcW w:w="1060" w:type="dxa"/>
            <w:tcBorders>
              <w:top w:val="nil"/>
              <w:left w:val="nil"/>
              <w:bottom w:val="single" w:color="auto" w:sz="4" w:space="0"/>
              <w:right w:val="single" w:color="auto" w:sz="4" w:space="0"/>
            </w:tcBorders>
            <w:shd w:val="clear" w:color="auto" w:fill="auto"/>
            <w:vAlign w:val="center"/>
          </w:tcPr>
          <w:p w14:paraId="3A4FEDA9">
            <w:pPr>
              <w:widowControl/>
              <w:jc w:val="left"/>
              <w:rPr>
                <w:rFonts w:ascii="宋体" w:hAnsi="宋体" w:cs="宋体"/>
                <w:kern w:val="0"/>
                <w:sz w:val="18"/>
                <w:szCs w:val="18"/>
              </w:rPr>
            </w:pPr>
            <w:r>
              <w:rPr>
                <w:rFonts w:hint="eastAsia" w:ascii="宋体" w:hAnsi="宋体" w:cs="宋体"/>
                <w:kern w:val="0"/>
                <w:sz w:val="18"/>
                <w:szCs w:val="18"/>
              </w:rPr>
              <w:t>　</w:t>
            </w:r>
          </w:p>
        </w:tc>
      </w:tr>
      <w:tr w14:paraId="2AB4F1ED">
        <w:tblPrEx>
          <w:tblCellMar>
            <w:top w:w="0" w:type="dxa"/>
            <w:left w:w="108" w:type="dxa"/>
            <w:bottom w:w="0" w:type="dxa"/>
            <w:right w:w="108" w:type="dxa"/>
          </w:tblCellMar>
        </w:tblPrEx>
        <w:trPr>
          <w:trHeight w:val="435" w:hRule="atLeast"/>
        </w:trPr>
        <w:tc>
          <w:tcPr>
            <w:tcW w:w="740" w:type="dxa"/>
            <w:vMerge w:val="continue"/>
            <w:tcBorders>
              <w:top w:val="nil"/>
              <w:left w:val="single" w:color="auto" w:sz="4" w:space="0"/>
              <w:bottom w:val="single" w:color="auto" w:sz="4" w:space="0"/>
              <w:right w:val="single" w:color="auto" w:sz="4" w:space="0"/>
            </w:tcBorders>
            <w:vAlign w:val="center"/>
          </w:tcPr>
          <w:p w14:paraId="4C8077E7">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59911F28">
            <w:pPr>
              <w:widowControl/>
              <w:jc w:val="left"/>
              <w:rPr>
                <w:rFonts w:ascii="宋体" w:hAnsi="宋体" w:cs="宋体"/>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14:paraId="0D73FB7F">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460" w:type="dxa"/>
            <w:tcBorders>
              <w:top w:val="nil"/>
              <w:left w:val="nil"/>
              <w:bottom w:val="single" w:color="auto" w:sz="4" w:space="0"/>
              <w:right w:val="single" w:color="auto" w:sz="4" w:space="0"/>
            </w:tcBorders>
            <w:shd w:val="clear" w:color="auto" w:fill="auto"/>
            <w:vAlign w:val="center"/>
          </w:tcPr>
          <w:p w14:paraId="308032B2">
            <w:pPr>
              <w:widowControl/>
              <w:jc w:val="left"/>
              <w:rPr>
                <w:rFonts w:ascii="宋体" w:hAnsi="宋体" w:cs="宋体"/>
                <w:kern w:val="0"/>
                <w:sz w:val="18"/>
                <w:szCs w:val="18"/>
              </w:rPr>
            </w:pPr>
            <w:r>
              <w:rPr>
                <w:rFonts w:hint="eastAsia" w:ascii="宋体" w:hAnsi="宋体" w:cs="宋体"/>
                <w:kern w:val="0"/>
                <w:sz w:val="18"/>
                <w:szCs w:val="18"/>
              </w:rPr>
              <w:t>2021年度</w:t>
            </w:r>
          </w:p>
        </w:tc>
        <w:tc>
          <w:tcPr>
            <w:tcW w:w="1360" w:type="dxa"/>
            <w:tcBorders>
              <w:top w:val="nil"/>
              <w:left w:val="nil"/>
              <w:bottom w:val="single" w:color="auto" w:sz="4" w:space="0"/>
              <w:right w:val="single" w:color="auto" w:sz="4" w:space="0"/>
            </w:tcBorders>
            <w:shd w:val="clear" w:color="auto" w:fill="auto"/>
            <w:vAlign w:val="center"/>
          </w:tcPr>
          <w:p w14:paraId="6DB402F8">
            <w:pPr>
              <w:widowControl/>
              <w:jc w:val="left"/>
              <w:rPr>
                <w:rFonts w:ascii="宋体" w:hAnsi="宋体" w:cs="宋体"/>
                <w:kern w:val="0"/>
                <w:sz w:val="18"/>
                <w:szCs w:val="18"/>
              </w:rPr>
            </w:pPr>
            <w:r>
              <w:rPr>
                <w:rFonts w:hint="eastAsia" w:ascii="宋体" w:hAnsi="宋体" w:cs="宋体"/>
                <w:kern w:val="0"/>
                <w:sz w:val="18"/>
                <w:szCs w:val="18"/>
              </w:rPr>
              <w:t>12个月</w:t>
            </w:r>
          </w:p>
        </w:tc>
        <w:tc>
          <w:tcPr>
            <w:tcW w:w="1480" w:type="dxa"/>
            <w:tcBorders>
              <w:top w:val="nil"/>
              <w:left w:val="nil"/>
              <w:bottom w:val="single" w:color="auto" w:sz="4" w:space="0"/>
              <w:right w:val="single" w:color="auto" w:sz="4" w:space="0"/>
            </w:tcBorders>
            <w:shd w:val="clear" w:color="auto" w:fill="auto"/>
            <w:vAlign w:val="center"/>
          </w:tcPr>
          <w:p w14:paraId="569F9319">
            <w:pPr>
              <w:widowControl/>
              <w:jc w:val="left"/>
              <w:rPr>
                <w:rFonts w:ascii="宋体" w:hAnsi="宋体" w:cs="宋体"/>
                <w:kern w:val="0"/>
                <w:sz w:val="18"/>
                <w:szCs w:val="18"/>
              </w:rPr>
            </w:pPr>
            <w:r>
              <w:rPr>
                <w:rFonts w:hint="eastAsia" w:ascii="宋体" w:hAnsi="宋体" w:cs="宋体"/>
                <w:kern w:val="0"/>
                <w:sz w:val="18"/>
                <w:szCs w:val="18"/>
              </w:rPr>
              <w:t>12个月</w:t>
            </w:r>
          </w:p>
        </w:tc>
        <w:tc>
          <w:tcPr>
            <w:tcW w:w="700" w:type="dxa"/>
            <w:tcBorders>
              <w:top w:val="nil"/>
              <w:left w:val="nil"/>
              <w:bottom w:val="single" w:color="auto" w:sz="4" w:space="0"/>
              <w:right w:val="single" w:color="auto" w:sz="4" w:space="0"/>
            </w:tcBorders>
            <w:shd w:val="clear" w:color="auto" w:fill="auto"/>
            <w:vAlign w:val="center"/>
          </w:tcPr>
          <w:p w14:paraId="70F37FF1">
            <w:pPr>
              <w:widowControl/>
              <w:jc w:val="center"/>
              <w:rPr>
                <w:rFonts w:ascii="宋体" w:hAnsi="宋体" w:cs="宋体"/>
                <w:kern w:val="0"/>
                <w:sz w:val="18"/>
                <w:szCs w:val="18"/>
              </w:rPr>
            </w:pPr>
            <w:r>
              <w:rPr>
                <w:rFonts w:hint="eastAsia" w:ascii="宋体" w:hAnsi="宋体" w:cs="宋体"/>
                <w:kern w:val="0"/>
                <w:sz w:val="18"/>
                <w:szCs w:val="18"/>
              </w:rPr>
              <w:t>100%</w:t>
            </w:r>
          </w:p>
        </w:tc>
        <w:tc>
          <w:tcPr>
            <w:tcW w:w="1060" w:type="dxa"/>
            <w:tcBorders>
              <w:top w:val="nil"/>
              <w:left w:val="nil"/>
              <w:bottom w:val="single" w:color="auto" w:sz="4" w:space="0"/>
              <w:right w:val="single" w:color="auto" w:sz="4" w:space="0"/>
            </w:tcBorders>
            <w:shd w:val="clear" w:color="auto" w:fill="auto"/>
            <w:vAlign w:val="center"/>
          </w:tcPr>
          <w:p w14:paraId="2CA6960B">
            <w:pPr>
              <w:widowControl/>
              <w:jc w:val="left"/>
              <w:rPr>
                <w:rFonts w:ascii="宋体" w:hAnsi="宋体" w:cs="宋体"/>
                <w:kern w:val="0"/>
                <w:sz w:val="18"/>
                <w:szCs w:val="18"/>
              </w:rPr>
            </w:pPr>
            <w:r>
              <w:rPr>
                <w:rFonts w:hint="eastAsia" w:ascii="宋体" w:hAnsi="宋体" w:cs="宋体"/>
                <w:kern w:val="0"/>
                <w:sz w:val="18"/>
                <w:szCs w:val="18"/>
              </w:rPr>
              <w:t>　</w:t>
            </w:r>
          </w:p>
        </w:tc>
      </w:tr>
      <w:tr w14:paraId="34274EB1">
        <w:tblPrEx>
          <w:tblCellMar>
            <w:top w:w="0" w:type="dxa"/>
            <w:left w:w="108" w:type="dxa"/>
            <w:bottom w:w="0" w:type="dxa"/>
            <w:right w:w="108" w:type="dxa"/>
          </w:tblCellMar>
        </w:tblPrEx>
        <w:trPr>
          <w:trHeight w:val="435" w:hRule="atLeast"/>
        </w:trPr>
        <w:tc>
          <w:tcPr>
            <w:tcW w:w="740" w:type="dxa"/>
            <w:vMerge w:val="continue"/>
            <w:tcBorders>
              <w:top w:val="nil"/>
              <w:left w:val="single" w:color="auto" w:sz="4" w:space="0"/>
              <w:bottom w:val="single" w:color="auto" w:sz="4" w:space="0"/>
              <w:right w:val="single" w:color="auto" w:sz="4" w:space="0"/>
            </w:tcBorders>
            <w:vAlign w:val="center"/>
          </w:tcPr>
          <w:p w14:paraId="19F59E92">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494B45D6">
            <w:pPr>
              <w:widowControl/>
              <w:jc w:val="left"/>
              <w:rPr>
                <w:rFonts w:ascii="宋体" w:hAnsi="宋体" w:cs="宋体"/>
                <w:kern w:val="0"/>
                <w:sz w:val="18"/>
                <w:szCs w:val="18"/>
              </w:rPr>
            </w:pP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3B7DC45C">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460" w:type="dxa"/>
            <w:tcBorders>
              <w:top w:val="nil"/>
              <w:left w:val="nil"/>
              <w:bottom w:val="single" w:color="auto" w:sz="4" w:space="0"/>
              <w:right w:val="single" w:color="auto" w:sz="4" w:space="0"/>
            </w:tcBorders>
            <w:shd w:val="clear" w:color="auto" w:fill="auto"/>
            <w:vAlign w:val="center"/>
          </w:tcPr>
          <w:p w14:paraId="1DF4B3A1">
            <w:pPr>
              <w:widowControl/>
              <w:jc w:val="left"/>
              <w:rPr>
                <w:rFonts w:ascii="宋体" w:hAnsi="宋体" w:cs="宋体"/>
                <w:kern w:val="0"/>
                <w:sz w:val="18"/>
                <w:szCs w:val="18"/>
              </w:rPr>
            </w:pPr>
            <w:r>
              <w:rPr>
                <w:rFonts w:hint="eastAsia" w:ascii="宋体" w:hAnsi="宋体" w:cs="宋体"/>
                <w:kern w:val="0"/>
                <w:sz w:val="18"/>
                <w:szCs w:val="18"/>
              </w:rPr>
              <w:t xml:space="preserve"> 1名工作人员经费</w:t>
            </w:r>
          </w:p>
        </w:tc>
        <w:tc>
          <w:tcPr>
            <w:tcW w:w="1360" w:type="dxa"/>
            <w:tcBorders>
              <w:top w:val="nil"/>
              <w:left w:val="nil"/>
              <w:bottom w:val="single" w:color="auto" w:sz="4" w:space="0"/>
              <w:right w:val="single" w:color="auto" w:sz="4" w:space="0"/>
            </w:tcBorders>
            <w:shd w:val="clear" w:color="auto" w:fill="auto"/>
            <w:vAlign w:val="center"/>
          </w:tcPr>
          <w:p w14:paraId="44B9DBAA">
            <w:pPr>
              <w:widowControl/>
              <w:jc w:val="left"/>
              <w:rPr>
                <w:rFonts w:ascii="宋体" w:hAnsi="宋体" w:cs="宋体"/>
                <w:kern w:val="0"/>
                <w:sz w:val="18"/>
                <w:szCs w:val="18"/>
              </w:rPr>
            </w:pPr>
            <w:r>
              <w:rPr>
                <w:rFonts w:hint="eastAsia" w:ascii="宋体" w:hAnsi="宋体" w:cs="宋体"/>
                <w:kern w:val="0"/>
                <w:sz w:val="18"/>
                <w:szCs w:val="18"/>
              </w:rPr>
              <w:t>11.54万</w:t>
            </w:r>
          </w:p>
        </w:tc>
        <w:tc>
          <w:tcPr>
            <w:tcW w:w="1480" w:type="dxa"/>
            <w:tcBorders>
              <w:top w:val="nil"/>
              <w:left w:val="nil"/>
              <w:bottom w:val="single" w:color="auto" w:sz="4" w:space="0"/>
              <w:right w:val="single" w:color="auto" w:sz="4" w:space="0"/>
            </w:tcBorders>
            <w:shd w:val="clear" w:color="auto" w:fill="auto"/>
            <w:vAlign w:val="center"/>
          </w:tcPr>
          <w:p w14:paraId="1B43814F">
            <w:pPr>
              <w:widowControl/>
              <w:jc w:val="left"/>
              <w:rPr>
                <w:rFonts w:ascii="宋体" w:hAnsi="宋体" w:cs="宋体"/>
                <w:kern w:val="0"/>
                <w:sz w:val="18"/>
                <w:szCs w:val="18"/>
              </w:rPr>
            </w:pPr>
            <w:r>
              <w:rPr>
                <w:rFonts w:hint="eastAsia" w:ascii="宋体" w:hAnsi="宋体" w:cs="宋体"/>
                <w:kern w:val="0"/>
                <w:sz w:val="18"/>
                <w:szCs w:val="18"/>
              </w:rPr>
              <w:t>11.54万</w:t>
            </w:r>
          </w:p>
        </w:tc>
        <w:tc>
          <w:tcPr>
            <w:tcW w:w="700" w:type="dxa"/>
            <w:tcBorders>
              <w:top w:val="nil"/>
              <w:left w:val="nil"/>
              <w:bottom w:val="single" w:color="auto" w:sz="4" w:space="0"/>
              <w:right w:val="single" w:color="auto" w:sz="4" w:space="0"/>
            </w:tcBorders>
            <w:shd w:val="clear" w:color="auto" w:fill="auto"/>
            <w:vAlign w:val="center"/>
          </w:tcPr>
          <w:p w14:paraId="39A4DC70">
            <w:pPr>
              <w:widowControl/>
              <w:jc w:val="center"/>
              <w:rPr>
                <w:rFonts w:ascii="宋体" w:hAnsi="宋体" w:cs="宋体"/>
                <w:kern w:val="0"/>
                <w:sz w:val="18"/>
                <w:szCs w:val="18"/>
              </w:rPr>
            </w:pPr>
            <w:r>
              <w:rPr>
                <w:rFonts w:hint="eastAsia" w:ascii="宋体" w:hAnsi="宋体" w:cs="宋体"/>
                <w:kern w:val="0"/>
                <w:sz w:val="18"/>
                <w:szCs w:val="18"/>
              </w:rPr>
              <w:t>100%</w:t>
            </w:r>
          </w:p>
        </w:tc>
        <w:tc>
          <w:tcPr>
            <w:tcW w:w="1060" w:type="dxa"/>
            <w:tcBorders>
              <w:top w:val="nil"/>
              <w:left w:val="nil"/>
              <w:bottom w:val="single" w:color="auto" w:sz="4" w:space="0"/>
              <w:right w:val="single" w:color="auto" w:sz="4" w:space="0"/>
            </w:tcBorders>
            <w:shd w:val="clear" w:color="auto" w:fill="auto"/>
            <w:vAlign w:val="center"/>
          </w:tcPr>
          <w:p w14:paraId="7E903A03">
            <w:pPr>
              <w:widowControl/>
              <w:jc w:val="left"/>
              <w:rPr>
                <w:rFonts w:ascii="宋体" w:hAnsi="宋体" w:cs="宋体"/>
                <w:kern w:val="0"/>
                <w:sz w:val="18"/>
                <w:szCs w:val="18"/>
              </w:rPr>
            </w:pPr>
            <w:r>
              <w:rPr>
                <w:rFonts w:hint="eastAsia" w:ascii="宋体" w:hAnsi="宋体" w:cs="宋体"/>
                <w:kern w:val="0"/>
                <w:sz w:val="18"/>
                <w:szCs w:val="18"/>
              </w:rPr>
              <w:t>　</w:t>
            </w:r>
          </w:p>
        </w:tc>
      </w:tr>
      <w:tr w14:paraId="2D912CD2">
        <w:tblPrEx>
          <w:tblCellMar>
            <w:top w:w="0" w:type="dxa"/>
            <w:left w:w="108" w:type="dxa"/>
            <w:bottom w:w="0" w:type="dxa"/>
            <w:right w:w="108" w:type="dxa"/>
          </w:tblCellMar>
        </w:tblPrEx>
        <w:trPr>
          <w:trHeight w:val="435" w:hRule="atLeast"/>
        </w:trPr>
        <w:tc>
          <w:tcPr>
            <w:tcW w:w="740" w:type="dxa"/>
            <w:vMerge w:val="continue"/>
            <w:tcBorders>
              <w:top w:val="nil"/>
              <w:left w:val="single" w:color="auto" w:sz="4" w:space="0"/>
              <w:bottom w:val="single" w:color="auto" w:sz="4" w:space="0"/>
              <w:right w:val="single" w:color="auto" w:sz="4" w:space="0"/>
            </w:tcBorders>
            <w:vAlign w:val="center"/>
          </w:tcPr>
          <w:p w14:paraId="6C1716A1">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635AAC5F">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14:paraId="456DB871">
            <w:pPr>
              <w:widowControl/>
              <w:jc w:val="left"/>
              <w:rPr>
                <w:rFonts w:ascii="宋体" w:hAnsi="宋体" w:cs="宋体"/>
                <w:kern w:val="0"/>
                <w:sz w:val="18"/>
                <w:szCs w:val="18"/>
              </w:rPr>
            </w:pPr>
          </w:p>
        </w:tc>
        <w:tc>
          <w:tcPr>
            <w:tcW w:w="2460" w:type="dxa"/>
            <w:tcBorders>
              <w:top w:val="nil"/>
              <w:left w:val="nil"/>
              <w:bottom w:val="single" w:color="auto" w:sz="4" w:space="0"/>
              <w:right w:val="single" w:color="auto" w:sz="4" w:space="0"/>
            </w:tcBorders>
            <w:shd w:val="clear" w:color="auto" w:fill="auto"/>
            <w:vAlign w:val="center"/>
          </w:tcPr>
          <w:p w14:paraId="5BC65B07">
            <w:pPr>
              <w:widowControl/>
              <w:jc w:val="left"/>
              <w:rPr>
                <w:rFonts w:ascii="宋体" w:hAnsi="宋体" w:cs="宋体"/>
                <w:kern w:val="0"/>
                <w:sz w:val="18"/>
                <w:szCs w:val="18"/>
              </w:rPr>
            </w:pPr>
            <w:r>
              <w:rPr>
                <w:rFonts w:hint="eastAsia" w:ascii="宋体" w:hAnsi="宋体" w:cs="宋体"/>
                <w:kern w:val="0"/>
                <w:sz w:val="18"/>
                <w:szCs w:val="18"/>
              </w:rPr>
              <w:t>差旅、接待、租车等费用</w:t>
            </w:r>
          </w:p>
        </w:tc>
        <w:tc>
          <w:tcPr>
            <w:tcW w:w="1360" w:type="dxa"/>
            <w:tcBorders>
              <w:top w:val="nil"/>
              <w:left w:val="nil"/>
              <w:bottom w:val="single" w:color="auto" w:sz="4" w:space="0"/>
              <w:right w:val="single" w:color="auto" w:sz="4" w:space="0"/>
            </w:tcBorders>
            <w:shd w:val="clear" w:color="auto" w:fill="auto"/>
            <w:vAlign w:val="center"/>
          </w:tcPr>
          <w:p w14:paraId="37F1309D">
            <w:pPr>
              <w:widowControl/>
              <w:jc w:val="left"/>
              <w:rPr>
                <w:rFonts w:ascii="宋体" w:hAnsi="宋体" w:cs="宋体"/>
                <w:kern w:val="0"/>
                <w:sz w:val="18"/>
                <w:szCs w:val="18"/>
              </w:rPr>
            </w:pPr>
            <w:r>
              <w:rPr>
                <w:rFonts w:hint="eastAsia" w:ascii="宋体" w:hAnsi="宋体" w:cs="宋体"/>
                <w:kern w:val="0"/>
                <w:sz w:val="18"/>
                <w:szCs w:val="18"/>
              </w:rPr>
              <w:t>60万</w:t>
            </w:r>
          </w:p>
        </w:tc>
        <w:tc>
          <w:tcPr>
            <w:tcW w:w="1480" w:type="dxa"/>
            <w:tcBorders>
              <w:top w:val="nil"/>
              <w:left w:val="nil"/>
              <w:bottom w:val="single" w:color="auto" w:sz="4" w:space="0"/>
              <w:right w:val="single" w:color="auto" w:sz="4" w:space="0"/>
            </w:tcBorders>
            <w:shd w:val="clear" w:color="auto" w:fill="auto"/>
            <w:vAlign w:val="center"/>
          </w:tcPr>
          <w:p w14:paraId="60A3B109">
            <w:pPr>
              <w:widowControl/>
              <w:jc w:val="left"/>
              <w:rPr>
                <w:rFonts w:ascii="宋体" w:hAnsi="宋体" w:cs="宋体"/>
                <w:kern w:val="0"/>
                <w:sz w:val="18"/>
                <w:szCs w:val="18"/>
              </w:rPr>
            </w:pPr>
            <w:r>
              <w:rPr>
                <w:rFonts w:hint="eastAsia" w:ascii="宋体" w:hAnsi="宋体" w:cs="宋体"/>
                <w:kern w:val="0"/>
                <w:sz w:val="18"/>
                <w:szCs w:val="18"/>
              </w:rPr>
              <w:t>60万</w:t>
            </w:r>
          </w:p>
        </w:tc>
        <w:tc>
          <w:tcPr>
            <w:tcW w:w="700" w:type="dxa"/>
            <w:tcBorders>
              <w:top w:val="nil"/>
              <w:left w:val="nil"/>
              <w:bottom w:val="single" w:color="auto" w:sz="4" w:space="0"/>
              <w:right w:val="single" w:color="auto" w:sz="4" w:space="0"/>
            </w:tcBorders>
            <w:shd w:val="clear" w:color="auto" w:fill="auto"/>
            <w:vAlign w:val="center"/>
          </w:tcPr>
          <w:p w14:paraId="328AC523">
            <w:pPr>
              <w:widowControl/>
              <w:jc w:val="center"/>
              <w:rPr>
                <w:rFonts w:ascii="宋体" w:hAnsi="宋体" w:cs="宋体"/>
                <w:kern w:val="0"/>
                <w:sz w:val="18"/>
                <w:szCs w:val="18"/>
              </w:rPr>
            </w:pPr>
            <w:r>
              <w:rPr>
                <w:rFonts w:hint="eastAsia" w:ascii="宋体" w:hAnsi="宋体" w:cs="宋体"/>
                <w:kern w:val="0"/>
                <w:sz w:val="18"/>
                <w:szCs w:val="18"/>
              </w:rPr>
              <w:t>100%</w:t>
            </w:r>
          </w:p>
        </w:tc>
        <w:tc>
          <w:tcPr>
            <w:tcW w:w="1060" w:type="dxa"/>
            <w:tcBorders>
              <w:top w:val="nil"/>
              <w:left w:val="nil"/>
              <w:bottom w:val="single" w:color="auto" w:sz="4" w:space="0"/>
              <w:right w:val="single" w:color="auto" w:sz="4" w:space="0"/>
            </w:tcBorders>
            <w:shd w:val="clear" w:color="auto" w:fill="auto"/>
            <w:vAlign w:val="center"/>
          </w:tcPr>
          <w:p w14:paraId="4028F572">
            <w:pPr>
              <w:widowControl/>
              <w:jc w:val="left"/>
              <w:rPr>
                <w:rFonts w:ascii="宋体" w:hAnsi="宋体" w:cs="宋体"/>
                <w:kern w:val="0"/>
                <w:sz w:val="18"/>
                <w:szCs w:val="18"/>
              </w:rPr>
            </w:pPr>
            <w:r>
              <w:rPr>
                <w:rFonts w:hint="eastAsia" w:ascii="宋体" w:hAnsi="宋体" w:cs="宋体"/>
                <w:kern w:val="0"/>
                <w:sz w:val="18"/>
                <w:szCs w:val="18"/>
              </w:rPr>
              <w:t>　</w:t>
            </w:r>
          </w:p>
        </w:tc>
      </w:tr>
      <w:tr w14:paraId="52EADBE6">
        <w:tblPrEx>
          <w:tblCellMar>
            <w:top w:w="0" w:type="dxa"/>
            <w:left w:w="108" w:type="dxa"/>
            <w:bottom w:w="0" w:type="dxa"/>
            <w:right w:w="108" w:type="dxa"/>
          </w:tblCellMar>
        </w:tblPrEx>
        <w:trPr>
          <w:trHeight w:val="735" w:hRule="atLeast"/>
        </w:trPr>
        <w:tc>
          <w:tcPr>
            <w:tcW w:w="740" w:type="dxa"/>
            <w:vMerge w:val="continue"/>
            <w:tcBorders>
              <w:top w:val="nil"/>
              <w:left w:val="single" w:color="auto" w:sz="4" w:space="0"/>
              <w:bottom w:val="single" w:color="auto" w:sz="4" w:space="0"/>
              <w:right w:val="single" w:color="auto" w:sz="4" w:space="0"/>
            </w:tcBorders>
            <w:vAlign w:val="center"/>
          </w:tcPr>
          <w:p w14:paraId="39524B6A">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2E892F2D">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14:paraId="3A0733E9">
            <w:pPr>
              <w:widowControl/>
              <w:jc w:val="left"/>
              <w:rPr>
                <w:rFonts w:ascii="宋体" w:hAnsi="宋体" w:cs="宋体"/>
                <w:kern w:val="0"/>
                <w:sz w:val="18"/>
                <w:szCs w:val="18"/>
              </w:rPr>
            </w:pPr>
          </w:p>
        </w:tc>
        <w:tc>
          <w:tcPr>
            <w:tcW w:w="2460" w:type="dxa"/>
            <w:tcBorders>
              <w:top w:val="nil"/>
              <w:left w:val="nil"/>
              <w:bottom w:val="single" w:color="auto" w:sz="4" w:space="0"/>
              <w:right w:val="single" w:color="auto" w:sz="4" w:space="0"/>
            </w:tcBorders>
            <w:shd w:val="clear" w:color="auto" w:fill="auto"/>
            <w:vAlign w:val="center"/>
          </w:tcPr>
          <w:p w14:paraId="0FCE22BF">
            <w:pPr>
              <w:widowControl/>
              <w:jc w:val="left"/>
              <w:rPr>
                <w:rFonts w:ascii="宋体" w:hAnsi="宋体" w:cs="宋体"/>
                <w:kern w:val="0"/>
                <w:sz w:val="18"/>
                <w:szCs w:val="18"/>
              </w:rPr>
            </w:pPr>
            <w:r>
              <w:rPr>
                <w:rFonts w:hint="eastAsia" w:ascii="宋体" w:hAnsi="宋体" w:cs="宋体"/>
                <w:kern w:val="0"/>
                <w:sz w:val="18"/>
                <w:szCs w:val="18"/>
              </w:rPr>
              <w:t>会场、项目包装、资料印制、委托服务等费用</w:t>
            </w:r>
          </w:p>
        </w:tc>
        <w:tc>
          <w:tcPr>
            <w:tcW w:w="1360" w:type="dxa"/>
            <w:tcBorders>
              <w:top w:val="nil"/>
              <w:left w:val="nil"/>
              <w:bottom w:val="single" w:color="auto" w:sz="4" w:space="0"/>
              <w:right w:val="single" w:color="auto" w:sz="4" w:space="0"/>
            </w:tcBorders>
            <w:shd w:val="clear" w:color="auto" w:fill="auto"/>
            <w:vAlign w:val="center"/>
          </w:tcPr>
          <w:p w14:paraId="0F316DED">
            <w:pPr>
              <w:widowControl/>
              <w:jc w:val="left"/>
              <w:rPr>
                <w:rFonts w:ascii="宋体" w:hAnsi="宋体" w:cs="宋体"/>
                <w:kern w:val="0"/>
                <w:sz w:val="18"/>
                <w:szCs w:val="18"/>
              </w:rPr>
            </w:pPr>
            <w:r>
              <w:rPr>
                <w:rFonts w:hint="eastAsia" w:ascii="宋体" w:hAnsi="宋体" w:cs="宋体"/>
                <w:kern w:val="0"/>
                <w:sz w:val="18"/>
                <w:szCs w:val="18"/>
              </w:rPr>
              <w:t>15.26万</w:t>
            </w:r>
          </w:p>
        </w:tc>
        <w:tc>
          <w:tcPr>
            <w:tcW w:w="1480" w:type="dxa"/>
            <w:tcBorders>
              <w:top w:val="nil"/>
              <w:left w:val="nil"/>
              <w:bottom w:val="single" w:color="auto" w:sz="4" w:space="0"/>
              <w:right w:val="single" w:color="auto" w:sz="4" w:space="0"/>
            </w:tcBorders>
            <w:shd w:val="clear" w:color="auto" w:fill="auto"/>
            <w:vAlign w:val="center"/>
          </w:tcPr>
          <w:p w14:paraId="012E019C">
            <w:pPr>
              <w:widowControl/>
              <w:jc w:val="left"/>
              <w:rPr>
                <w:rFonts w:ascii="宋体" w:hAnsi="宋体" w:cs="宋体"/>
                <w:kern w:val="0"/>
                <w:sz w:val="18"/>
                <w:szCs w:val="18"/>
              </w:rPr>
            </w:pPr>
            <w:r>
              <w:rPr>
                <w:rFonts w:hint="eastAsia" w:ascii="宋体" w:hAnsi="宋体" w:cs="宋体"/>
                <w:kern w:val="0"/>
                <w:sz w:val="18"/>
                <w:szCs w:val="18"/>
              </w:rPr>
              <w:t>15.26万</w:t>
            </w:r>
          </w:p>
        </w:tc>
        <w:tc>
          <w:tcPr>
            <w:tcW w:w="700" w:type="dxa"/>
            <w:tcBorders>
              <w:top w:val="nil"/>
              <w:left w:val="nil"/>
              <w:bottom w:val="single" w:color="auto" w:sz="4" w:space="0"/>
              <w:right w:val="single" w:color="auto" w:sz="4" w:space="0"/>
            </w:tcBorders>
            <w:shd w:val="clear" w:color="auto" w:fill="auto"/>
            <w:vAlign w:val="center"/>
          </w:tcPr>
          <w:p w14:paraId="3EF8000E">
            <w:pPr>
              <w:widowControl/>
              <w:jc w:val="center"/>
              <w:rPr>
                <w:rFonts w:ascii="宋体" w:hAnsi="宋体" w:cs="宋体"/>
                <w:kern w:val="0"/>
                <w:sz w:val="18"/>
                <w:szCs w:val="18"/>
              </w:rPr>
            </w:pPr>
            <w:r>
              <w:rPr>
                <w:rFonts w:hint="eastAsia" w:ascii="宋体" w:hAnsi="宋体" w:cs="宋体"/>
                <w:kern w:val="0"/>
                <w:sz w:val="18"/>
                <w:szCs w:val="18"/>
              </w:rPr>
              <w:t>100%</w:t>
            </w:r>
          </w:p>
        </w:tc>
        <w:tc>
          <w:tcPr>
            <w:tcW w:w="1060" w:type="dxa"/>
            <w:tcBorders>
              <w:top w:val="nil"/>
              <w:left w:val="nil"/>
              <w:bottom w:val="single" w:color="auto" w:sz="4" w:space="0"/>
              <w:right w:val="single" w:color="auto" w:sz="4" w:space="0"/>
            </w:tcBorders>
            <w:shd w:val="clear" w:color="auto" w:fill="auto"/>
            <w:vAlign w:val="center"/>
          </w:tcPr>
          <w:p w14:paraId="539119B8">
            <w:pPr>
              <w:widowControl/>
              <w:jc w:val="left"/>
              <w:rPr>
                <w:rFonts w:ascii="宋体" w:hAnsi="宋体" w:cs="宋体"/>
                <w:kern w:val="0"/>
                <w:sz w:val="18"/>
                <w:szCs w:val="18"/>
              </w:rPr>
            </w:pPr>
            <w:r>
              <w:rPr>
                <w:rFonts w:hint="eastAsia" w:ascii="宋体" w:hAnsi="宋体" w:cs="宋体"/>
                <w:kern w:val="0"/>
                <w:sz w:val="18"/>
                <w:szCs w:val="18"/>
              </w:rPr>
              <w:t>　</w:t>
            </w:r>
          </w:p>
        </w:tc>
      </w:tr>
      <w:tr w14:paraId="5956E02A">
        <w:tblPrEx>
          <w:tblCellMar>
            <w:top w:w="0" w:type="dxa"/>
            <w:left w:w="108" w:type="dxa"/>
            <w:bottom w:w="0" w:type="dxa"/>
            <w:right w:w="108" w:type="dxa"/>
          </w:tblCellMar>
        </w:tblPrEx>
        <w:trPr>
          <w:trHeight w:val="702" w:hRule="atLeast"/>
        </w:trPr>
        <w:tc>
          <w:tcPr>
            <w:tcW w:w="740" w:type="dxa"/>
            <w:vMerge w:val="continue"/>
            <w:tcBorders>
              <w:top w:val="nil"/>
              <w:left w:val="single" w:color="auto" w:sz="4" w:space="0"/>
              <w:bottom w:val="single" w:color="auto" w:sz="4" w:space="0"/>
              <w:right w:val="single" w:color="auto" w:sz="4" w:space="0"/>
            </w:tcBorders>
            <w:vAlign w:val="center"/>
          </w:tcPr>
          <w:p w14:paraId="13BEC66B">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5A17A272">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14:paraId="79A1CCDE">
            <w:pPr>
              <w:widowControl/>
              <w:jc w:val="left"/>
              <w:rPr>
                <w:rFonts w:ascii="宋体" w:hAnsi="宋体" w:cs="宋体"/>
                <w:kern w:val="0"/>
                <w:sz w:val="18"/>
                <w:szCs w:val="18"/>
              </w:rPr>
            </w:pPr>
          </w:p>
        </w:tc>
        <w:tc>
          <w:tcPr>
            <w:tcW w:w="2460" w:type="dxa"/>
            <w:tcBorders>
              <w:top w:val="nil"/>
              <w:left w:val="nil"/>
              <w:bottom w:val="single" w:color="auto" w:sz="4" w:space="0"/>
              <w:right w:val="single" w:color="auto" w:sz="4" w:space="0"/>
            </w:tcBorders>
            <w:shd w:val="clear" w:color="auto" w:fill="auto"/>
            <w:vAlign w:val="center"/>
          </w:tcPr>
          <w:p w14:paraId="6D10C5FE">
            <w:pPr>
              <w:widowControl/>
              <w:jc w:val="left"/>
              <w:rPr>
                <w:rFonts w:ascii="宋体" w:hAnsi="宋体" w:cs="宋体"/>
                <w:kern w:val="0"/>
                <w:sz w:val="18"/>
                <w:szCs w:val="18"/>
              </w:rPr>
            </w:pPr>
            <w:r>
              <w:rPr>
                <w:rFonts w:hint="eastAsia" w:ascii="宋体" w:hAnsi="宋体" w:cs="宋体"/>
                <w:kern w:val="0"/>
                <w:sz w:val="18"/>
                <w:szCs w:val="18"/>
              </w:rPr>
              <w:t>招商优秀奖</w:t>
            </w:r>
          </w:p>
        </w:tc>
        <w:tc>
          <w:tcPr>
            <w:tcW w:w="1360" w:type="dxa"/>
            <w:tcBorders>
              <w:top w:val="nil"/>
              <w:left w:val="nil"/>
              <w:bottom w:val="single" w:color="auto" w:sz="4" w:space="0"/>
              <w:right w:val="single" w:color="auto" w:sz="4" w:space="0"/>
            </w:tcBorders>
            <w:shd w:val="clear" w:color="auto" w:fill="auto"/>
            <w:vAlign w:val="center"/>
          </w:tcPr>
          <w:p w14:paraId="7F9F9FDA">
            <w:pPr>
              <w:widowControl/>
              <w:jc w:val="left"/>
              <w:rPr>
                <w:rFonts w:ascii="宋体" w:hAnsi="宋体" w:cs="宋体"/>
                <w:kern w:val="0"/>
                <w:sz w:val="18"/>
                <w:szCs w:val="18"/>
              </w:rPr>
            </w:pPr>
            <w:r>
              <w:rPr>
                <w:rFonts w:hint="eastAsia" w:ascii="宋体" w:hAnsi="宋体" w:cs="宋体"/>
                <w:kern w:val="0"/>
                <w:sz w:val="18"/>
                <w:szCs w:val="18"/>
              </w:rPr>
              <w:t>1.66万元</w:t>
            </w:r>
          </w:p>
        </w:tc>
        <w:tc>
          <w:tcPr>
            <w:tcW w:w="1480" w:type="dxa"/>
            <w:tcBorders>
              <w:top w:val="nil"/>
              <w:left w:val="nil"/>
              <w:bottom w:val="single" w:color="auto" w:sz="4" w:space="0"/>
              <w:right w:val="single" w:color="auto" w:sz="4" w:space="0"/>
            </w:tcBorders>
            <w:shd w:val="clear" w:color="auto" w:fill="auto"/>
            <w:vAlign w:val="center"/>
          </w:tcPr>
          <w:p w14:paraId="33ADB394">
            <w:pPr>
              <w:widowControl/>
              <w:jc w:val="left"/>
              <w:rPr>
                <w:rFonts w:ascii="宋体" w:hAnsi="宋体" w:cs="宋体"/>
                <w:kern w:val="0"/>
                <w:sz w:val="18"/>
                <w:szCs w:val="18"/>
              </w:rPr>
            </w:pPr>
            <w:r>
              <w:rPr>
                <w:rFonts w:hint="eastAsia" w:ascii="宋体" w:hAnsi="宋体" w:cs="宋体"/>
                <w:kern w:val="0"/>
                <w:sz w:val="18"/>
                <w:szCs w:val="18"/>
              </w:rPr>
              <w:t>1.66万元</w:t>
            </w:r>
          </w:p>
        </w:tc>
        <w:tc>
          <w:tcPr>
            <w:tcW w:w="700" w:type="dxa"/>
            <w:tcBorders>
              <w:top w:val="nil"/>
              <w:left w:val="nil"/>
              <w:bottom w:val="single" w:color="auto" w:sz="4" w:space="0"/>
              <w:right w:val="single" w:color="auto" w:sz="4" w:space="0"/>
            </w:tcBorders>
            <w:shd w:val="clear" w:color="auto" w:fill="auto"/>
            <w:vAlign w:val="center"/>
          </w:tcPr>
          <w:p w14:paraId="27B1C656">
            <w:pPr>
              <w:widowControl/>
              <w:jc w:val="center"/>
              <w:rPr>
                <w:rFonts w:ascii="宋体" w:hAnsi="宋体" w:cs="宋体"/>
                <w:kern w:val="0"/>
                <w:sz w:val="18"/>
                <w:szCs w:val="18"/>
              </w:rPr>
            </w:pPr>
            <w:r>
              <w:rPr>
                <w:rFonts w:hint="eastAsia" w:ascii="宋体" w:hAnsi="宋体" w:cs="宋体"/>
                <w:kern w:val="0"/>
                <w:sz w:val="18"/>
                <w:szCs w:val="18"/>
              </w:rPr>
              <w:t>100%</w:t>
            </w:r>
          </w:p>
        </w:tc>
        <w:tc>
          <w:tcPr>
            <w:tcW w:w="1060" w:type="dxa"/>
            <w:tcBorders>
              <w:top w:val="nil"/>
              <w:left w:val="nil"/>
              <w:bottom w:val="single" w:color="auto" w:sz="4" w:space="0"/>
              <w:right w:val="single" w:color="auto" w:sz="4" w:space="0"/>
            </w:tcBorders>
            <w:shd w:val="clear" w:color="auto" w:fill="auto"/>
            <w:vAlign w:val="center"/>
          </w:tcPr>
          <w:p w14:paraId="545B9B61">
            <w:pPr>
              <w:widowControl/>
              <w:jc w:val="left"/>
              <w:rPr>
                <w:rFonts w:ascii="宋体" w:hAnsi="宋体" w:cs="宋体"/>
                <w:kern w:val="0"/>
                <w:sz w:val="18"/>
                <w:szCs w:val="18"/>
              </w:rPr>
            </w:pPr>
            <w:r>
              <w:rPr>
                <w:rFonts w:hint="eastAsia" w:ascii="宋体" w:hAnsi="宋体" w:cs="宋体"/>
                <w:kern w:val="0"/>
                <w:sz w:val="18"/>
                <w:szCs w:val="18"/>
              </w:rPr>
              <w:t>　</w:t>
            </w:r>
          </w:p>
        </w:tc>
      </w:tr>
      <w:tr w14:paraId="05A84AA7">
        <w:tblPrEx>
          <w:tblCellMar>
            <w:top w:w="0" w:type="dxa"/>
            <w:left w:w="108" w:type="dxa"/>
            <w:bottom w:w="0" w:type="dxa"/>
            <w:right w:w="108" w:type="dxa"/>
          </w:tblCellMar>
        </w:tblPrEx>
        <w:trPr>
          <w:trHeight w:val="405" w:hRule="atLeast"/>
        </w:trPr>
        <w:tc>
          <w:tcPr>
            <w:tcW w:w="740" w:type="dxa"/>
            <w:vMerge w:val="continue"/>
            <w:tcBorders>
              <w:top w:val="nil"/>
              <w:left w:val="single" w:color="auto" w:sz="4" w:space="0"/>
              <w:bottom w:val="single" w:color="auto" w:sz="4" w:space="0"/>
              <w:right w:val="single" w:color="auto" w:sz="4" w:space="0"/>
            </w:tcBorders>
            <w:vAlign w:val="center"/>
          </w:tcPr>
          <w:p w14:paraId="46FB2351">
            <w:pPr>
              <w:widowControl/>
              <w:jc w:val="left"/>
              <w:rPr>
                <w:rFonts w:ascii="宋体" w:hAnsi="宋体" w:cs="宋体"/>
                <w:kern w:val="0"/>
                <w:sz w:val="18"/>
                <w:szCs w:val="18"/>
              </w:rPr>
            </w:pP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41DE199D">
            <w:pPr>
              <w:widowControl/>
              <w:jc w:val="center"/>
              <w:rPr>
                <w:rFonts w:ascii="宋体" w:hAnsi="宋体" w:cs="宋体"/>
                <w:kern w:val="0"/>
                <w:sz w:val="18"/>
                <w:szCs w:val="18"/>
              </w:rPr>
            </w:pPr>
            <w:r>
              <w:rPr>
                <w:rFonts w:hint="eastAsia" w:ascii="宋体" w:hAnsi="宋体" w:cs="宋体"/>
                <w:kern w:val="0"/>
                <w:sz w:val="18"/>
                <w:szCs w:val="18"/>
              </w:rPr>
              <w:t>项目效益</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25C56144">
            <w:pPr>
              <w:widowControl/>
              <w:jc w:val="center"/>
              <w:rPr>
                <w:rFonts w:ascii="宋体" w:hAnsi="宋体" w:cs="宋体"/>
                <w:kern w:val="0"/>
                <w:sz w:val="18"/>
                <w:szCs w:val="18"/>
              </w:rPr>
            </w:pPr>
            <w:r>
              <w:rPr>
                <w:rFonts w:hint="eastAsia" w:ascii="宋体" w:hAnsi="宋体" w:cs="宋体"/>
                <w:kern w:val="0"/>
                <w:sz w:val="18"/>
                <w:szCs w:val="18"/>
              </w:rPr>
              <w:t>经济效益</w:t>
            </w:r>
            <w:r>
              <w:rPr>
                <w:rFonts w:hint="eastAsia" w:ascii="宋体" w:hAnsi="宋体" w:cs="宋体"/>
                <w:kern w:val="0"/>
                <w:sz w:val="18"/>
                <w:szCs w:val="18"/>
              </w:rPr>
              <w:br w:type="textWrapping"/>
            </w:r>
            <w:r>
              <w:rPr>
                <w:rFonts w:hint="eastAsia" w:ascii="宋体" w:hAnsi="宋体" w:cs="宋体"/>
                <w:kern w:val="0"/>
                <w:sz w:val="18"/>
                <w:szCs w:val="18"/>
              </w:rPr>
              <w:t>指标</w:t>
            </w:r>
          </w:p>
        </w:tc>
        <w:tc>
          <w:tcPr>
            <w:tcW w:w="2460" w:type="dxa"/>
            <w:tcBorders>
              <w:top w:val="nil"/>
              <w:left w:val="nil"/>
              <w:bottom w:val="single" w:color="auto" w:sz="4" w:space="0"/>
              <w:right w:val="single" w:color="auto" w:sz="4" w:space="0"/>
            </w:tcBorders>
            <w:shd w:val="clear" w:color="auto" w:fill="auto"/>
            <w:vAlign w:val="center"/>
          </w:tcPr>
          <w:p w14:paraId="1BBAADB9">
            <w:pPr>
              <w:widowControl/>
              <w:jc w:val="left"/>
              <w:rPr>
                <w:rFonts w:ascii="宋体" w:hAnsi="宋体" w:cs="宋体"/>
                <w:kern w:val="0"/>
                <w:sz w:val="18"/>
                <w:szCs w:val="18"/>
              </w:rPr>
            </w:pPr>
            <w:r>
              <w:rPr>
                <w:rFonts w:hint="eastAsia" w:ascii="宋体" w:hAnsi="宋体" w:cs="宋体"/>
                <w:kern w:val="0"/>
                <w:sz w:val="18"/>
                <w:szCs w:val="18"/>
              </w:rPr>
              <w:t>签约工业项目</w:t>
            </w:r>
          </w:p>
        </w:tc>
        <w:tc>
          <w:tcPr>
            <w:tcW w:w="1360" w:type="dxa"/>
            <w:tcBorders>
              <w:top w:val="nil"/>
              <w:left w:val="nil"/>
              <w:bottom w:val="single" w:color="auto" w:sz="4" w:space="0"/>
              <w:right w:val="single" w:color="auto" w:sz="4" w:space="0"/>
            </w:tcBorders>
            <w:shd w:val="clear" w:color="auto" w:fill="auto"/>
            <w:vAlign w:val="center"/>
          </w:tcPr>
          <w:p w14:paraId="530FC542">
            <w:pPr>
              <w:widowControl/>
              <w:jc w:val="left"/>
              <w:rPr>
                <w:rFonts w:ascii="宋体" w:hAnsi="宋体" w:cs="宋体"/>
                <w:kern w:val="0"/>
                <w:sz w:val="18"/>
                <w:szCs w:val="18"/>
              </w:rPr>
            </w:pPr>
            <w:r>
              <w:rPr>
                <w:rFonts w:hint="eastAsia" w:ascii="宋体" w:hAnsi="宋体" w:cs="宋体"/>
                <w:kern w:val="0"/>
                <w:sz w:val="18"/>
                <w:szCs w:val="18"/>
              </w:rPr>
              <w:t>300</w:t>
            </w:r>
          </w:p>
        </w:tc>
        <w:tc>
          <w:tcPr>
            <w:tcW w:w="1480" w:type="dxa"/>
            <w:tcBorders>
              <w:top w:val="nil"/>
              <w:left w:val="nil"/>
              <w:bottom w:val="single" w:color="auto" w:sz="4" w:space="0"/>
              <w:right w:val="single" w:color="auto" w:sz="4" w:space="0"/>
            </w:tcBorders>
            <w:shd w:val="clear" w:color="auto" w:fill="auto"/>
            <w:vAlign w:val="center"/>
          </w:tcPr>
          <w:p w14:paraId="247DB531">
            <w:pPr>
              <w:widowControl/>
              <w:jc w:val="left"/>
              <w:rPr>
                <w:rFonts w:ascii="宋体" w:hAnsi="宋体" w:cs="宋体"/>
                <w:kern w:val="0"/>
                <w:sz w:val="18"/>
                <w:szCs w:val="18"/>
              </w:rPr>
            </w:pPr>
            <w:r>
              <w:rPr>
                <w:rFonts w:hint="eastAsia" w:ascii="宋体" w:hAnsi="宋体" w:cs="宋体"/>
                <w:kern w:val="0"/>
                <w:sz w:val="18"/>
                <w:szCs w:val="18"/>
              </w:rPr>
              <w:t>312</w:t>
            </w:r>
          </w:p>
        </w:tc>
        <w:tc>
          <w:tcPr>
            <w:tcW w:w="700" w:type="dxa"/>
            <w:tcBorders>
              <w:top w:val="nil"/>
              <w:left w:val="nil"/>
              <w:bottom w:val="single" w:color="auto" w:sz="4" w:space="0"/>
              <w:right w:val="single" w:color="auto" w:sz="4" w:space="0"/>
            </w:tcBorders>
            <w:shd w:val="clear" w:color="auto" w:fill="auto"/>
            <w:vAlign w:val="center"/>
          </w:tcPr>
          <w:p w14:paraId="224CBD76">
            <w:pPr>
              <w:widowControl/>
              <w:jc w:val="center"/>
              <w:rPr>
                <w:rFonts w:ascii="宋体" w:hAnsi="宋体" w:cs="宋体"/>
                <w:kern w:val="0"/>
                <w:sz w:val="18"/>
                <w:szCs w:val="18"/>
              </w:rPr>
            </w:pPr>
            <w:r>
              <w:rPr>
                <w:rFonts w:hint="eastAsia" w:ascii="宋体" w:hAnsi="宋体" w:cs="宋体"/>
                <w:kern w:val="0"/>
                <w:sz w:val="18"/>
                <w:szCs w:val="18"/>
              </w:rPr>
              <w:t>104%</w:t>
            </w:r>
          </w:p>
        </w:tc>
        <w:tc>
          <w:tcPr>
            <w:tcW w:w="1060" w:type="dxa"/>
            <w:tcBorders>
              <w:top w:val="nil"/>
              <w:left w:val="nil"/>
              <w:bottom w:val="single" w:color="auto" w:sz="4" w:space="0"/>
              <w:right w:val="single" w:color="auto" w:sz="4" w:space="0"/>
            </w:tcBorders>
            <w:shd w:val="clear" w:color="auto" w:fill="auto"/>
            <w:vAlign w:val="center"/>
          </w:tcPr>
          <w:p w14:paraId="6D8F7AFB">
            <w:pPr>
              <w:widowControl/>
              <w:jc w:val="left"/>
              <w:rPr>
                <w:rFonts w:ascii="宋体" w:hAnsi="宋体" w:cs="宋体"/>
                <w:kern w:val="0"/>
                <w:sz w:val="18"/>
                <w:szCs w:val="18"/>
              </w:rPr>
            </w:pPr>
            <w:r>
              <w:rPr>
                <w:rFonts w:hint="eastAsia" w:ascii="宋体" w:hAnsi="宋体" w:cs="宋体"/>
                <w:kern w:val="0"/>
                <w:sz w:val="18"/>
                <w:szCs w:val="18"/>
              </w:rPr>
              <w:t>　</w:t>
            </w:r>
          </w:p>
        </w:tc>
      </w:tr>
      <w:tr w14:paraId="0F922C8E">
        <w:tblPrEx>
          <w:tblCellMar>
            <w:top w:w="0" w:type="dxa"/>
            <w:left w:w="108" w:type="dxa"/>
            <w:bottom w:w="0" w:type="dxa"/>
            <w:right w:w="108" w:type="dxa"/>
          </w:tblCellMar>
        </w:tblPrEx>
        <w:trPr>
          <w:trHeight w:val="405" w:hRule="atLeast"/>
        </w:trPr>
        <w:tc>
          <w:tcPr>
            <w:tcW w:w="740" w:type="dxa"/>
            <w:vMerge w:val="continue"/>
            <w:tcBorders>
              <w:top w:val="nil"/>
              <w:left w:val="single" w:color="auto" w:sz="4" w:space="0"/>
              <w:bottom w:val="single" w:color="auto" w:sz="4" w:space="0"/>
              <w:right w:val="single" w:color="auto" w:sz="4" w:space="0"/>
            </w:tcBorders>
            <w:vAlign w:val="center"/>
          </w:tcPr>
          <w:p w14:paraId="257C9700">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2B58B249">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14:paraId="3EA5FAE1">
            <w:pPr>
              <w:widowControl/>
              <w:jc w:val="left"/>
              <w:rPr>
                <w:rFonts w:ascii="宋体" w:hAnsi="宋体" w:cs="宋体"/>
                <w:kern w:val="0"/>
                <w:sz w:val="18"/>
                <w:szCs w:val="18"/>
              </w:rPr>
            </w:pPr>
          </w:p>
        </w:tc>
        <w:tc>
          <w:tcPr>
            <w:tcW w:w="2460" w:type="dxa"/>
            <w:tcBorders>
              <w:top w:val="nil"/>
              <w:left w:val="nil"/>
              <w:bottom w:val="single" w:color="auto" w:sz="4" w:space="0"/>
              <w:right w:val="single" w:color="auto" w:sz="4" w:space="0"/>
            </w:tcBorders>
            <w:shd w:val="clear" w:color="000000" w:fill="FFFFFF"/>
            <w:vAlign w:val="center"/>
          </w:tcPr>
          <w:p w14:paraId="0C085D67">
            <w:pPr>
              <w:widowControl/>
              <w:jc w:val="left"/>
              <w:rPr>
                <w:rFonts w:ascii="宋体" w:hAnsi="宋体" w:cs="宋体"/>
                <w:kern w:val="0"/>
                <w:sz w:val="18"/>
                <w:szCs w:val="18"/>
              </w:rPr>
            </w:pPr>
            <w:r>
              <w:rPr>
                <w:rFonts w:hint="eastAsia" w:ascii="宋体" w:hAnsi="宋体" w:cs="宋体"/>
                <w:kern w:val="0"/>
                <w:sz w:val="18"/>
                <w:szCs w:val="18"/>
              </w:rPr>
              <w:t>完成工业投资</w:t>
            </w:r>
          </w:p>
        </w:tc>
        <w:tc>
          <w:tcPr>
            <w:tcW w:w="1360" w:type="dxa"/>
            <w:tcBorders>
              <w:top w:val="nil"/>
              <w:left w:val="nil"/>
              <w:bottom w:val="single" w:color="auto" w:sz="4" w:space="0"/>
              <w:right w:val="single" w:color="auto" w:sz="4" w:space="0"/>
            </w:tcBorders>
            <w:shd w:val="clear" w:color="auto" w:fill="auto"/>
            <w:vAlign w:val="center"/>
          </w:tcPr>
          <w:p w14:paraId="41E6DBBE">
            <w:pPr>
              <w:widowControl/>
              <w:jc w:val="left"/>
              <w:rPr>
                <w:rFonts w:ascii="宋体" w:hAnsi="宋体" w:cs="宋体"/>
                <w:kern w:val="0"/>
                <w:sz w:val="18"/>
                <w:szCs w:val="18"/>
              </w:rPr>
            </w:pPr>
            <w:r>
              <w:rPr>
                <w:rFonts w:hint="eastAsia" w:ascii="宋体" w:hAnsi="宋体" w:cs="宋体"/>
                <w:kern w:val="0"/>
                <w:sz w:val="18"/>
                <w:szCs w:val="18"/>
              </w:rPr>
              <w:t>同比增长17.2%</w:t>
            </w:r>
          </w:p>
        </w:tc>
        <w:tc>
          <w:tcPr>
            <w:tcW w:w="1480" w:type="dxa"/>
            <w:tcBorders>
              <w:top w:val="nil"/>
              <w:left w:val="nil"/>
              <w:bottom w:val="single" w:color="auto" w:sz="4" w:space="0"/>
              <w:right w:val="single" w:color="auto" w:sz="4" w:space="0"/>
            </w:tcBorders>
            <w:shd w:val="clear" w:color="auto" w:fill="auto"/>
            <w:vAlign w:val="center"/>
          </w:tcPr>
          <w:p w14:paraId="0EB28069">
            <w:pPr>
              <w:widowControl/>
              <w:jc w:val="center"/>
              <w:rPr>
                <w:rFonts w:ascii="宋体" w:hAnsi="宋体" w:cs="宋体"/>
                <w:kern w:val="0"/>
                <w:sz w:val="18"/>
                <w:szCs w:val="18"/>
              </w:rPr>
            </w:pPr>
            <w:r>
              <w:rPr>
                <w:rFonts w:hint="eastAsia" w:ascii="宋体" w:hAnsi="宋体" w:cs="宋体"/>
                <w:kern w:val="0"/>
                <w:sz w:val="18"/>
                <w:szCs w:val="18"/>
              </w:rPr>
              <w:t>同比增长17.2%</w:t>
            </w:r>
          </w:p>
        </w:tc>
        <w:tc>
          <w:tcPr>
            <w:tcW w:w="700" w:type="dxa"/>
            <w:tcBorders>
              <w:top w:val="nil"/>
              <w:left w:val="nil"/>
              <w:bottom w:val="single" w:color="auto" w:sz="4" w:space="0"/>
              <w:right w:val="single" w:color="auto" w:sz="4" w:space="0"/>
            </w:tcBorders>
            <w:shd w:val="clear" w:color="auto" w:fill="auto"/>
            <w:vAlign w:val="center"/>
          </w:tcPr>
          <w:p w14:paraId="2667C9D5">
            <w:pPr>
              <w:widowControl/>
              <w:jc w:val="center"/>
              <w:rPr>
                <w:rFonts w:ascii="宋体" w:hAnsi="宋体" w:cs="宋体"/>
                <w:kern w:val="0"/>
                <w:sz w:val="18"/>
                <w:szCs w:val="18"/>
              </w:rPr>
            </w:pPr>
            <w:r>
              <w:rPr>
                <w:rFonts w:hint="eastAsia" w:ascii="宋体" w:hAnsi="宋体" w:cs="宋体"/>
                <w:kern w:val="0"/>
                <w:sz w:val="18"/>
                <w:szCs w:val="18"/>
              </w:rPr>
              <w:t>100%</w:t>
            </w:r>
          </w:p>
        </w:tc>
        <w:tc>
          <w:tcPr>
            <w:tcW w:w="1060" w:type="dxa"/>
            <w:tcBorders>
              <w:top w:val="nil"/>
              <w:left w:val="nil"/>
              <w:bottom w:val="single" w:color="auto" w:sz="4" w:space="0"/>
              <w:right w:val="single" w:color="auto" w:sz="4" w:space="0"/>
            </w:tcBorders>
            <w:shd w:val="clear" w:color="auto" w:fill="auto"/>
            <w:vAlign w:val="center"/>
          </w:tcPr>
          <w:p w14:paraId="5F290D12">
            <w:pPr>
              <w:widowControl/>
              <w:jc w:val="left"/>
              <w:rPr>
                <w:rFonts w:ascii="宋体" w:hAnsi="宋体" w:cs="宋体"/>
                <w:kern w:val="0"/>
                <w:sz w:val="18"/>
                <w:szCs w:val="18"/>
              </w:rPr>
            </w:pPr>
            <w:r>
              <w:rPr>
                <w:rFonts w:hint="eastAsia" w:ascii="宋体" w:hAnsi="宋体" w:cs="宋体"/>
                <w:kern w:val="0"/>
                <w:sz w:val="18"/>
                <w:szCs w:val="18"/>
              </w:rPr>
              <w:t>　</w:t>
            </w:r>
          </w:p>
        </w:tc>
      </w:tr>
      <w:tr w14:paraId="265EF83B">
        <w:tblPrEx>
          <w:tblCellMar>
            <w:top w:w="0" w:type="dxa"/>
            <w:left w:w="108" w:type="dxa"/>
            <w:bottom w:w="0" w:type="dxa"/>
            <w:right w:w="108" w:type="dxa"/>
          </w:tblCellMar>
        </w:tblPrEx>
        <w:trPr>
          <w:trHeight w:val="405" w:hRule="atLeast"/>
        </w:trPr>
        <w:tc>
          <w:tcPr>
            <w:tcW w:w="740" w:type="dxa"/>
            <w:vMerge w:val="continue"/>
            <w:tcBorders>
              <w:top w:val="nil"/>
              <w:left w:val="single" w:color="auto" w:sz="4" w:space="0"/>
              <w:bottom w:val="single" w:color="auto" w:sz="4" w:space="0"/>
              <w:right w:val="single" w:color="auto" w:sz="4" w:space="0"/>
            </w:tcBorders>
            <w:vAlign w:val="center"/>
          </w:tcPr>
          <w:p w14:paraId="5A394114">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5751CCDA">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14:paraId="575F28DF">
            <w:pPr>
              <w:widowControl/>
              <w:jc w:val="left"/>
              <w:rPr>
                <w:rFonts w:ascii="宋体" w:hAnsi="宋体" w:cs="宋体"/>
                <w:kern w:val="0"/>
                <w:sz w:val="18"/>
                <w:szCs w:val="18"/>
              </w:rPr>
            </w:pPr>
          </w:p>
        </w:tc>
        <w:tc>
          <w:tcPr>
            <w:tcW w:w="2460" w:type="dxa"/>
            <w:tcBorders>
              <w:top w:val="nil"/>
              <w:left w:val="nil"/>
              <w:bottom w:val="single" w:color="auto" w:sz="4" w:space="0"/>
              <w:right w:val="single" w:color="auto" w:sz="4" w:space="0"/>
            </w:tcBorders>
            <w:shd w:val="clear" w:color="auto" w:fill="auto"/>
            <w:vAlign w:val="center"/>
          </w:tcPr>
          <w:p w14:paraId="6EF72A61">
            <w:pPr>
              <w:widowControl/>
              <w:jc w:val="left"/>
              <w:rPr>
                <w:rFonts w:ascii="宋体" w:hAnsi="宋体" w:cs="宋体"/>
                <w:kern w:val="0"/>
                <w:sz w:val="18"/>
                <w:szCs w:val="18"/>
              </w:rPr>
            </w:pPr>
            <w:r>
              <w:rPr>
                <w:rFonts w:hint="eastAsia" w:ascii="宋体" w:hAnsi="宋体" w:cs="宋体"/>
                <w:kern w:val="0"/>
                <w:sz w:val="18"/>
                <w:szCs w:val="18"/>
              </w:rPr>
              <w:t>完成技改投资</w:t>
            </w:r>
          </w:p>
        </w:tc>
        <w:tc>
          <w:tcPr>
            <w:tcW w:w="1360" w:type="dxa"/>
            <w:tcBorders>
              <w:top w:val="nil"/>
              <w:left w:val="nil"/>
              <w:bottom w:val="single" w:color="auto" w:sz="4" w:space="0"/>
              <w:right w:val="single" w:color="auto" w:sz="4" w:space="0"/>
            </w:tcBorders>
            <w:shd w:val="clear" w:color="auto" w:fill="auto"/>
            <w:vAlign w:val="center"/>
          </w:tcPr>
          <w:p w14:paraId="0C45D70A">
            <w:pPr>
              <w:widowControl/>
              <w:jc w:val="left"/>
              <w:rPr>
                <w:rFonts w:ascii="宋体" w:hAnsi="宋体" w:cs="宋体"/>
                <w:kern w:val="0"/>
                <w:sz w:val="18"/>
                <w:szCs w:val="18"/>
              </w:rPr>
            </w:pPr>
            <w:r>
              <w:rPr>
                <w:rFonts w:hint="eastAsia" w:ascii="宋体" w:hAnsi="宋体" w:cs="宋体"/>
                <w:kern w:val="0"/>
                <w:sz w:val="18"/>
                <w:szCs w:val="18"/>
              </w:rPr>
              <w:t>同比增长21.6%</w:t>
            </w:r>
          </w:p>
        </w:tc>
        <w:tc>
          <w:tcPr>
            <w:tcW w:w="1480" w:type="dxa"/>
            <w:tcBorders>
              <w:top w:val="nil"/>
              <w:left w:val="nil"/>
              <w:bottom w:val="single" w:color="auto" w:sz="4" w:space="0"/>
              <w:right w:val="single" w:color="auto" w:sz="4" w:space="0"/>
            </w:tcBorders>
            <w:shd w:val="clear" w:color="auto" w:fill="auto"/>
            <w:vAlign w:val="center"/>
          </w:tcPr>
          <w:p w14:paraId="005266BD">
            <w:pPr>
              <w:widowControl/>
              <w:jc w:val="center"/>
              <w:rPr>
                <w:rFonts w:ascii="宋体" w:hAnsi="宋体" w:cs="宋体"/>
                <w:kern w:val="0"/>
                <w:sz w:val="18"/>
                <w:szCs w:val="18"/>
              </w:rPr>
            </w:pPr>
            <w:r>
              <w:rPr>
                <w:rFonts w:hint="eastAsia" w:ascii="宋体" w:hAnsi="宋体" w:cs="宋体"/>
                <w:kern w:val="0"/>
                <w:sz w:val="18"/>
                <w:szCs w:val="18"/>
              </w:rPr>
              <w:t>同比增长21.6%</w:t>
            </w:r>
          </w:p>
        </w:tc>
        <w:tc>
          <w:tcPr>
            <w:tcW w:w="700" w:type="dxa"/>
            <w:tcBorders>
              <w:top w:val="nil"/>
              <w:left w:val="nil"/>
              <w:bottom w:val="single" w:color="auto" w:sz="4" w:space="0"/>
              <w:right w:val="single" w:color="auto" w:sz="4" w:space="0"/>
            </w:tcBorders>
            <w:shd w:val="clear" w:color="auto" w:fill="auto"/>
            <w:vAlign w:val="center"/>
          </w:tcPr>
          <w:p w14:paraId="28F4D7C4">
            <w:pPr>
              <w:widowControl/>
              <w:jc w:val="center"/>
              <w:rPr>
                <w:rFonts w:ascii="宋体" w:hAnsi="宋体" w:cs="宋体"/>
                <w:kern w:val="0"/>
                <w:sz w:val="18"/>
                <w:szCs w:val="18"/>
              </w:rPr>
            </w:pPr>
            <w:r>
              <w:rPr>
                <w:rFonts w:hint="eastAsia" w:ascii="宋体" w:hAnsi="宋体" w:cs="宋体"/>
                <w:kern w:val="0"/>
                <w:sz w:val="18"/>
                <w:szCs w:val="18"/>
              </w:rPr>
              <w:t>100%</w:t>
            </w:r>
          </w:p>
        </w:tc>
        <w:tc>
          <w:tcPr>
            <w:tcW w:w="1060" w:type="dxa"/>
            <w:tcBorders>
              <w:top w:val="nil"/>
              <w:left w:val="nil"/>
              <w:bottom w:val="single" w:color="auto" w:sz="4" w:space="0"/>
              <w:right w:val="single" w:color="auto" w:sz="4" w:space="0"/>
            </w:tcBorders>
            <w:shd w:val="clear" w:color="auto" w:fill="auto"/>
            <w:vAlign w:val="center"/>
          </w:tcPr>
          <w:p w14:paraId="6A91637C">
            <w:pPr>
              <w:widowControl/>
              <w:jc w:val="left"/>
              <w:rPr>
                <w:rFonts w:ascii="宋体" w:hAnsi="宋体" w:cs="宋体"/>
                <w:kern w:val="0"/>
                <w:sz w:val="18"/>
                <w:szCs w:val="18"/>
              </w:rPr>
            </w:pPr>
            <w:r>
              <w:rPr>
                <w:rFonts w:hint="eastAsia" w:ascii="宋体" w:hAnsi="宋体" w:cs="宋体"/>
                <w:kern w:val="0"/>
                <w:sz w:val="18"/>
                <w:szCs w:val="18"/>
              </w:rPr>
              <w:t>　</w:t>
            </w:r>
          </w:p>
        </w:tc>
      </w:tr>
      <w:tr w14:paraId="7499B7C7">
        <w:tblPrEx>
          <w:tblCellMar>
            <w:top w:w="0" w:type="dxa"/>
            <w:left w:w="108" w:type="dxa"/>
            <w:bottom w:w="0" w:type="dxa"/>
            <w:right w:w="108" w:type="dxa"/>
          </w:tblCellMar>
        </w:tblPrEx>
        <w:trPr>
          <w:trHeight w:val="405" w:hRule="atLeast"/>
        </w:trPr>
        <w:tc>
          <w:tcPr>
            <w:tcW w:w="740" w:type="dxa"/>
            <w:vMerge w:val="continue"/>
            <w:tcBorders>
              <w:top w:val="nil"/>
              <w:left w:val="single" w:color="auto" w:sz="4" w:space="0"/>
              <w:bottom w:val="single" w:color="auto" w:sz="4" w:space="0"/>
              <w:right w:val="single" w:color="auto" w:sz="4" w:space="0"/>
            </w:tcBorders>
            <w:vAlign w:val="center"/>
          </w:tcPr>
          <w:p w14:paraId="78802510">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248C3C56">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14:paraId="0B71DE01">
            <w:pPr>
              <w:widowControl/>
              <w:jc w:val="left"/>
              <w:rPr>
                <w:rFonts w:ascii="宋体" w:hAnsi="宋体" w:cs="宋体"/>
                <w:kern w:val="0"/>
                <w:sz w:val="18"/>
                <w:szCs w:val="18"/>
              </w:rPr>
            </w:pPr>
          </w:p>
        </w:tc>
        <w:tc>
          <w:tcPr>
            <w:tcW w:w="2460" w:type="dxa"/>
            <w:tcBorders>
              <w:top w:val="nil"/>
              <w:left w:val="nil"/>
              <w:bottom w:val="single" w:color="auto" w:sz="4" w:space="0"/>
              <w:right w:val="single" w:color="auto" w:sz="4" w:space="0"/>
            </w:tcBorders>
            <w:shd w:val="clear" w:color="auto" w:fill="auto"/>
            <w:vAlign w:val="center"/>
          </w:tcPr>
          <w:p w14:paraId="1562DF32">
            <w:pPr>
              <w:widowControl/>
              <w:jc w:val="left"/>
              <w:rPr>
                <w:rFonts w:ascii="宋体" w:hAnsi="宋体" w:cs="宋体"/>
                <w:kern w:val="0"/>
                <w:sz w:val="18"/>
                <w:szCs w:val="18"/>
              </w:rPr>
            </w:pPr>
            <w:r>
              <w:rPr>
                <w:rFonts w:hint="eastAsia" w:ascii="宋体" w:hAnsi="宋体" w:cs="宋体"/>
                <w:kern w:val="0"/>
                <w:sz w:val="18"/>
                <w:szCs w:val="18"/>
              </w:rPr>
              <w:t>规上工业企业营业收入</w:t>
            </w:r>
          </w:p>
        </w:tc>
        <w:tc>
          <w:tcPr>
            <w:tcW w:w="1360" w:type="dxa"/>
            <w:tcBorders>
              <w:top w:val="nil"/>
              <w:left w:val="nil"/>
              <w:bottom w:val="single" w:color="auto" w:sz="4" w:space="0"/>
              <w:right w:val="single" w:color="auto" w:sz="4" w:space="0"/>
            </w:tcBorders>
            <w:shd w:val="clear" w:color="auto" w:fill="auto"/>
            <w:vAlign w:val="center"/>
          </w:tcPr>
          <w:p w14:paraId="70D40415">
            <w:pPr>
              <w:widowControl/>
              <w:jc w:val="left"/>
              <w:rPr>
                <w:rFonts w:ascii="宋体" w:hAnsi="宋体" w:cs="宋体"/>
                <w:kern w:val="0"/>
                <w:sz w:val="18"/>
                <w:szCs w:val="18"/>
              </w:rPr>
            </w:pPr>
            <w:r>
              <w:rPr>
                <w:rFonts w:hint="eastAsia" w:ascii="宋体" w:hAnsi="宋体" w:cs="宋体"/>
                <w:kern w:val="0"/>
                <w:sz w:val="18"/>
                <w:szCs w:val="18"/>
              </w:rPr>
              <w:t>2233.6亿元</w:t>
            </w:r>
          </w:p>
        </w:tc>
        <w:tc>
          <w:tcPr>
            <w:tcW w:w="1480" w:type="dxa"/>
            <w:tcBorders>
              <w:top w:val="nil"/>
              <w:left w:val="nil"/>
              <w:bottom w:val="single" w:color="auto" w:sz="4" w:space="0"/>
              <w:right w:val="single" w:color="auto" w:sz="4" w:space="0"/>
            </w:tcBorders>
            <w:shd w:val="clear" w:color="auto" w:fill="auto"/>
            <w:vAlign w:val="center"/>
          </w:tcPr>
          <w:p w14:paraId="7CA678CC">
            <w:pPr>
              <w:widowControl/>
              <w:jc w:val="center"/>
              <w:rPr>
                <w:rFonts w:ascii="宋体" w:hAnsi="宋体" w:cs="宋体"/>
                <w:kern w:val="0"/>
                <w:sz w:val="18"/>
                <w:szCs w:val="18"/>
              </w:rPr>
            </w:pPr>
            <w:r>
              <w:rPr>
                <w:rFonts w:hint="eastAsia" w:ascii="宋体" w:hAnsi="宋体" w:cs="宋体"/>
                <w:kern w:val="0"/>
                <w:sz w:val="18"/>
                <w:szCs w:val="18"/>
              </w:rPr>
              <w:t>2233.6亿元</w:t>
            </w:r>
          </w:p>
        </w:tc>
        <w:tc>
          <w:tcPr>
            <w:tcW w:w="700" w:type="dxa"/>
            <w:tcBorders>
              <w:top w:val="nil"/>
              <w:left w:val="nil"/>
              <w:bottom w:val="single" w:color="auto" w:sz="4" w:space="0"/>
              <w:right w:val="single" w:color="auto" w:sz="4" w:space="0"/>
            </w:tcBorders>
            <w:shd w:val="clear" w:color="auto" w:fill="auto"/>
            <w:vAlign w:val="center"/>
          </w:tcPr>
          <w:p w14:paraId="2FF6853E">
            <w:pPr>
              <w:widowControl/>
              <w:jc w:val="center"/>
              <w:rPr>
                <w:rFonts w:ascii="宋体" w:hAnsi="宋体" w:cs="宋体"/>
                <w:kern w:val="0"/>
                <w:sz w:val="18"/>
                <w:szCs w:val="18"/>
              </w:rPr>
            </w:pPr>
            <w:r>
              <w:rPr>
                <w:rFonts w:hint="eastAsia" w:ascii="宋体" w:hAnsi="宋体" w:cs="宋体"/>
                <w:kern w:val="0"/>
                <w:sz w:val="18"/>
                <w:szCs w:val="18"/>
              </w:rPr>
              <w:t>100%</w:t>
            </w:r>
          </w:p>
        </w:tc>
        <w:tc>
          <w:tcPr>
            <w:tcW w:w="1060" w:type="dxa"/>
            <w:tcBorders>
              <w:top w:val="nil"/>
              <w:left w:val="nil"/>
              <w:bottom w:val="single" w:color="auto" w:sz="4" w:space="0"/>
              <w:right w:val="single" w:color="auto" w:sz="4" w:space="0"/>
            </w:tcBorders>
            <w:shd w:val="clear" w:color="auto" w:fill="auto"/>
            <w:vAlign w:val="center"/>
          </w:tcPr>
          <w:p w14:paraId="76731192">
            <w:pPr>
              <w:widowControl/>
              <w:jc w:val="left"/>
              <w:rPr>
                <w:rFonts w:ascii="宋体" w:hAnsi="宋体" w:cs="宋体"/>
                <w:kern w:val="0"/>
                <w:sz w:val="18"/>
                <w:szCs w:val="18"/>
              </w:rPr>
            </w:pPr>
            <w:r>
              <w:rPr>
                <w:rFonts w:hint="eastAsia" w:ascii="宋体" w:hAnsi="宋体" w:cs="宋体"/>
                <w:kern w:val="0"/>
                <w:sz w:val="18"/>
                <w:szCs w:val="18"/>
              </w:rPr>
              <w:t>　</w:t>
            </w:r>
          </w:p>
        </w:tc>
      </w:tr>
      <w:tr w14:paraId="3FF553DE">
        <w:tblPrEx>
          <w:tblCellMar>
            <w:top w:w="0" w:type="dxa"/>
            <w:left w:w="108" w:type="dxa"/>
            <w:bottom w:w="0" w:type="dxa"/>
            <w:right w:w="108" w:type="dxa"/>
          </w:tblCellMar>
        </w:tblPrEx>
        <w:trPr>
          <w:trHeight w:val="450" w:hRule="atLeast"/>
        </w:trPr>
        <w:tc>
          <w:tcPr>
            <w:tcW w:w="740" w:type="dxa"/>
            <w:vMerge w:val="continue"/>
            <w:tcBorders>
              <w:top w:val="nil"/>
              <w:left w:val="single" w:color="auto" w:sz="4" w:space="0"/>
              <w:bottom w:val="single" w:color="auto" w:sz="4" w:space="0"/>
              <w:right w:val="single" w:color="auto" w:sz="4" w:space="0"/>
            </w:tcBorders>
            <w:vAlign w:val="center"/>
          </w:tcPr>
          <w:p w14:paraId="7EBC764D">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63EDF9C6">
            <w:pPr>
              <w:widowControl/>
              <w:jc w:val="left"/>
              <w:rPr>
                <w:rFonts w:ascii="宋体" w:hAnsi="宋体" w:cs="宋体"/>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14:paraId="2B57E585">
            <w:pPr>
              <w:widowControl/>
              <w:jc w:val="center"/>
              <w:rPr>
                <w:rFonts w:ascii="宋体" w:hAnsi="宋体" w:cs="宋体"/>
                <w:kern w:val="0"/>
                <w:sz w:val="18"/>
                <w:szCs w:val="18"/>
              </w:rPr>
            </w:pPr>
            <w:r>
              <w:rPr>
                <w:rFonts w:hint="eastAsia" w:ascii="宋体" w:hAnsi="宋体" w:cs="宋体"/>
                <w:kern w:val="0"/>
                <w:sz w:val="18"/>
                <w:szCs w:val="18"/>
              </w:rPr>
              <w:t>社会效益</w:t>
            </w:r>
            <w:r>
              <w:rPr>
                <w:rFonts w:hint="eastAsia" w:ascii="宋体" w:hAnsi="宋体" w:cs="宋体"/>
                <w:kern w:val="0"/>
                <w:sz w:val="18"/>
                <w:szCs w:val="18"/>
              </w:rPr>
              <w:br w:type="textWrapping"/>
            </w:r>
            <w:r>
              <w:rPr>
                <w:rFonts w:hint="eastAsia" w:ascii="宋体" w:hAnsi="宋体" w:cs="宋体"/>
                <w:kern w:val="0"/>
                <w:sz w:val="18"/>
                <w:szCs w:val="18"/>
              </w:rPr>
              <w:t>指标</w:t>
            </w:r>
          </w:p>
        </w:tc>
        <w:tc>
          <w:tcPr>
            <w:tcW w:w="2460" w:type="dxa"/>
            <w:tcBorders>
              <w:top w:val="nil"/>
              <w:left w:val="nil"/>
              <w:bottom w:val="single" w:color="auto" w:sz="4" w:space="0"/>
              <w:right w:val="single" w:color="auto" w:sz="4" w:space="0"/>
            </w:tcBorders>
            <w:shd w:val="clear" w:color="auto" w:fill="auto"/>
            <w:vAlign w:val="center"/>
          </w:tcPr>
          <w:p w14:paraId="0F09746C">
            <w:pPr>
              <w:widowControl/>
              <w:jc w:val="left"/>
              <w:rPr>
                <w:rFonts w:ascii="宋体" w:hAnsi="宋体" w:cs="宋体"/>
                <w:kern w:val="0"/>
                <w:sz w:val="18"/>
                <w:szCs w:val="18"/>
              </w:rPr>
            </w:pPr>
            <w:r>
              <w:rPr>
                <w:rFonts w:hint="eastAsia" w:ascii="宋体" w:hAnsi="宋体" w:cs="宋体"/>
                <w:kern w:val="0"/>
                <w:sz w:val="18"/>
                <w:szCs w:val="18"/>
              </w:rPr>
              <w:t>提供更多就业岗位</w:t>
            </w:r>
          </w:p>
        </w:tc>
        <w:tc>
          <w:tcPr>
            <w:tcW w:w="1360" w:type="dxa"/>
            <w:tcBorders>
              <w:top w:val="nil"/>
              <w:left w:val="nil"/>
              <w:bottom w:val="single" w:color="auto" w:sz="4" w:space="0"/>
              <w:right w:val="single" w:color="auto" w:sz="4" w:space="0"/>
            </w:tcBorders>
            <w:shd w:val="clear" w:color="auto" w:fill="auto"/>
            <w:vAlign w:val="center"/>
          </w:tcPr>
          <w:p w14:paraId="1C24E6B6">
            <w:pPr>
              <w:widowControl/>
              <w:jc w:val="left"/>
              <w:rPr>
                <w:rFonts w:ascii="宋体" w:hAnsi="宋体" w:cs="宋体"/>
                <w:kern w:val="0"/>
                <w:sz w:val="18"/>
                <w:szCs w:val="18"/>
              </w:rPr>
            </w:pPr>
            <w:r>
              <w:rPr>
                <w:rFonts w:hint="eastAsia" w:ascii="宋体" w:hAnsi="宋体" w:cs="宋体"/>
                <w:kern w:val="0"/>
                <w:sz w:val="18"/>
                <w:szCs w:val="18"/>
              </w:rPr>
              <w:t>增加全市就业率</w:t>
            </w:r>
          </w:p>
        </w:tc>
        <w:tc>
          <w:tcPr>
            <w:tcW w:w="1480" w:type="dxa"/>
            <w:tcBorders>
              <w:top w:val="nil"/>
              <w:left w:val="nil"/>
              <w:bottom w:val="single" w:color="auto" w:sz="4" w:space="0"/>
              <w:right w:val="single" w:color="auto" w:sz="4" w:space="0"/>
            </w:tcBorders>
            <w:shd w:val="clear" w:color="auto" w:fill="auto"/>
            <w:vAlign w:val="center"/>
          </w:tcPr>
          <w:p w14:paraId="7CCB7313">
            <w:pPr>
              <w:widowControl/>
              <w:jc w:val="center"/>
              <w:rPr>
                <w:rFonts w:ascii="仿宋" w:hAnsi="仿宋" w:eastAsia="仿宋" w:cs="宋体"/>
                <w:kern w:val="0"/>
                <w:sz w:val="18"/>
                <w:szCs w:val="18"/>
              </w:rPr>
            </w:pPr>
            <w:r>
              <w:rPr>
                <w:rFonts w:hint="eastAsia" w:ascii="仿宋" w:hAnsi="仿宋" w:eastAsia="仿宋" w:cs="宋体"/>
                <w:kern w:val="0"/>
                <w:sz w:val="18"/>
                <w:szCs w:val="18"/>
              </w:rPr>
              <w:t>80%（含）-100%</w:t>
            </w:r>
          </w:p>
        </w:tc>
        <w:tc>
          <w:tcPr>
            <w:tcW w:w="700" w:type="dxa"/>
            <w:tcBorders>
              <w:top w:val="nil"/>
              <w:left w:val="nil"/>
              <w:bottom w:val="single" w:color="auto" w:sz="4" w:space="0"/>
              <w:right w:val="single" w:color="auto" w:sz="4" w:space="0"/>
            </w:tcBorders>
            <w:shd w:val="clear" w:color="auto" w:fill="auto"/>
            <w:vAlign w:val="center"/>
          </w:tcPr>
          <w:p w14:paraId="6FA803E0">
            <w:pPr>
              <w:widowControl/>
              <w:jc w:val="center"/>
              <w:rPr>
                <w:rFonts w:ascii="宋体" w:hAnsi="宋体" w:cs="宋体"/>
                <w:kern w:val="0"/>
                <w:sz w:val="18"/>
                <w:szCs w:val="18"/>
              </w:rPr>
            </w:pPr>
            <w:r>
              <w:rPr>
                <w:rFonts w:hint="eastAsia" w:ascii="宋体" w:hAnsi="宋体" w:cs="宋体"/>
                <w:kern w:val="0"/>
                <w:sz w:val="18"/>
                <w:szCs w:val="18"/>
              </w:rPr>
              <w:t>100%</w:t>
            </w:r>
          </w:p>
        </w:tc>
        <w:tc>
          <w:tcPr>
            <w:tcW w:w="1060" w:type="dxa"/>
            <w:tcBorders>
              <w:top w:val="nil"/>
              <w:left w:val="nil"/>
              <w:bottom w:val="single" w:color="auto" w:sz="4" w:space="0"/>
              <w:right w:val="single" w:color="auto" w:sz="4" w:space="0"/>
            </w:tcBorders>
            <w:shd w:val="clear" w:color="auto" w:fill="auto"/>
            <w:vAlign w:val="center"/>
          </w:tcPr>
          <w:p w14:paraId="0DD43B43">
            <w:pPr>
              <w:widowControl/>
              <w:jc w:val="left"/>
              <w:rPr>
                <w:rFonts w:ascii="宋体" w:hAnsi="宋体" w:cs="宋体"/>
                <w:kern w:val="0"/>
                <w:sz w:val="18"/>
                <w:szCs w:val="18"/>
              </w:rPr>
            </w:pPr>
            <w:r>
              <w:rPr>
                <w:rFonts w:hint="eastAsia" w:ascii="宋体" w:hAnsi="宋体" w:cs="宋体"/>
                <w:kern w:val="0"/>
                <w:sz w:val="18"/>
                <w:szCs w:val="18"/>
              </w:rPr>
              <w:t>　</w:t>
            </w:r>
          </w:p>
        </w:tc>
      </w:tr>
      <w:tr w14:paraId="5E8ED7FA">
        <w:tblPrEx>
          <w:tblCellMar>
            <w:top w:w="0" w:type="dxa"/>
            <w:left w:w="108" w:type="dxa"/>
            <w:bottom w:w="0" w:type="dxa"/>
            <w:right w:w="108" w:type="dxa"/>
          </w:tblCellMar>
        </w:tblPrEx>
        <w:trPr>
          <w:trHeight w:val="795" w:hRule="atLeast"/>
        </w:trPr>
        <w:tc>
          <w:tcPr>
            <w:tcW w:w="740" w:type="dxa"/>
            <w:vMerge w:val="continue"/>
            <w:tcBorders>
              <w:top w:val="nil"/>
              <w:left w:val="single" w:color="auto" w:sz="4" w:space="0"/>
              <w:bottom w:val="single" w:color="auto" w:sz="4" w:space="0"/>
              <w:right w:val="single" w:color="auto" w:sz="4" w:space="0"/>
            </w:tcBorders>
            <w:vAlign w:val="center"/>
          </w:tcPr>
          <w:p w14:paraId="581AE282">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3FACAF8F">
            <w:pPr>
              <w:widowControl/>
              <w:jc w:val="left"/>
              <w:rPr>
                <w:rFonts w:ascii="宋体" w:hAnsi="宋体" w:cs="宋体"/>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14:paraId="7473F62B">
            <w:pPr>
              <w:widowControl/>
              <w:jc w:val="center"/>
              <w:rPr>
                <w:rFonts w:ascii="宋体" w:hAnsi="宋体" w:cs="宋体"/>
                <w:kern w:val="0"/>
                <w:sz w:val="18"/>
                <w:szCs w:val="18"/>
              </w:rPr>
            </w:pPr>
            <w:r>
              <w:rPr>
                <w:rFonts w:hint="eastAsia" w:ascii="宋体" w:hAnsi="宋体" w:cs="宋体"/>
                <w:kern w:val="0"/>
                <w:sz w:val="18"/>
                <w:szCs w:val="18"/>
              </w:rPr>
              <w:t>可持续影响</w:t>
            </w:r>
            <w:r>
              <w:rPr>
                <w:rFonts w:hint="eastAsia" w:ascii="宋体" w:hAnsi="宋体" w:cs="宋体"/>
                <w:kern w:val="0"/>
                <w:sz w:val="18"/>
                <w:szCs w:val="18"/>
              </w:rPr>
              <w:br w:type="textWrapping"/>
            </w:r>
            <w:r>
              <w:rPr>
                <w:rFonts w:hint="eastAsia" w:ascii="宋体" w:hAnsi="宋体" w:cs="宋体"/>
                <w:kern w:val="0"/>
                <w:sz w:val="18"/>
                <w:szCs w:val="18"/>
              </w:rPr>
              <w:t>指标</w:t>
            </w:r>
          </w:p>
        </w:tc>
        <w:tc>
          <w:tcPr>
            <w:tcW w:w="2460" w:type="dxa"/>
            <w:tcBorders>
              <w:top w:val="nil"/>
              <w:left w:val="nil"/>
              <w:bottom w:val="single" w:color="auto" w:sz="4" w:space="0"/>
              <w:right w:val="single" w:color="auto" w:sz="4" w:space="0"/>
            </w:tcBorders>
            <w:shd w:val="clear" w:color="auto" w:fill="auto"/>
            <w:vAlign w:val="center"/>
          </w:tcPr>
          <w:p w14:paraId="5F825E22">
            <w:pPr>
              <w:widowControl/>
              <w:jc w:val="left"/>
              <w:rPr>
                <w:rFonts w:ascii="宋体" w:hAnsi="宋体" w:cs="宋体"/>
                <w:kern w:val="0"/>
                <w:sz w:val="18"/>
                <w:szCs w:val="18"/>
              </w:rPr>
            </w:pPr>
            <w:r>
              <w:rPr>
                <w:rFonts w:hint="eastAsia" w:ascii="宋体" w:hAnsi="宋体" w:cs="宋体"/>
                <w:kern w:val="0"/>
                <w:sz w:val="18"/>
                <w:szCs w:val="18"/>
              </w:rPr>
              <w:t>持续引导攀枝花市工业经济创新发展、跨越发展</w:t>
            </w:r>
          </w:p>
        </w:tc>
        <w:tc>
          <w:tcPr>
            <w:tcW w:w="1360" w:type="dxa"/>
            <w:tcBorders>
              <w:top w:val="nil"/>
              <w:left w:val="nil"/>
              <w:bottom w:val="single" w:color="auto" w:sz="4" w:space="0"/>
              <w:right w:val="single" w:color="auto" w:sz="4" w:space="0"/>
            </w:tcBorders>
            <w:shd w:val="clear" w:color="auto" w:fill="auto"/>
            <w:vAlign w:val="center"/>
          </w:tcPr>
          <w:p w14:paraId="1DD570FC">
            <w:pPr>
              <w:widowControl/>
              <w:jc w:val="left"/>
              <w:rPr>
                <w:rFonts w:ascii="宋体" w:hAnsi="宋体" w:cs="宋体"/>
                <w:kern w:val="0"/>
                <w:sz w:val="18"/>
                <w:szCs w:val="18"/>
              </w:rPr>
            </w:pPr>
            <w:r>
              <w:rPr>
                <w:rFonts w:hint="eastAsia" w:ascii="宋体" w:hAnsi="宋体" w:cs="宋体"/>
                <w:kern w:val="0"/>
                <w:sz w:val="18"/>
                <w:szCs w:val="18"/>
              </w:rPr>
              <w:t>持续引导攀枝花市工业经济创新发展、跨越发展</w:t>
            </w:r>
          </w:p>
        </w:tc>
        <w:tc>
          <w:tcPr>
            <w:tcW w:w="1480" w:type="dxa"/>
            <w:tcBorders>
              <w:top w:val="nil"/>
              <w:left w:val="nil"/>
              <w:bottom w:val="single" w:color="auto" w:sz="4" w:space="0"/>
              <w:right w:val="single" w:color="auto" w:sz="4" w:space="0"/>
            </w:tcBorders>
            <w:shd w:val="clear" w:color="auto" w:fill="auto"/>
            <w:vAlign w:val="center"/>
          </w:tcPr>
          <w:p w14:paraId="6687DBC5">
            <w:pPr>
              <w:widowControl/>
              <w:jc w:val="center"/>
              <w:rPr>
                <w:rFonts w:ascii="仿宋" w:hAnsi="仿宋" w:eastAsia="仿宋" w:cs="宋体"/>
                <w:kern w:val="0"/>
                <w:sz w:val="18"/>
                <w:szCs w:val="18"/>
              </w:rPr>
            </w:pPr>
            <w:r>
              <w:rPr>
                <w:rFonts w:hint="eastAsia" w:ascii="仿宋" w:hAnsi="仿宋" w:eastAsia="仿宋" w:cs="宋体"/>
                <w:kern w:val="0"/>
                <w:sz w:val="18"/>
                <w:szCs w:val="18"/>
              </w:rPr>
              <w:t>80%（含）-100%</w:t>
            </w:r>
          </w:p>
        </w:tc>
        <w:tc>
          <w:tcPr>
            <w:tcW w:w="700" w:type="dxa"/>
            <w:tcBorders>
              <w:top w:val="nil"/>
              <w:left w:val="nil"/>
              <w:bottom w:val="single" w:color="auto" w:sz="4" w:space="0"/>
              <w:right w:val="single" w:color="auto" w:sz="4" w:space="0"/>
            </w:tcBorders>
            <w:shd w:val="clear" w:color="auto" w:fill="auto"/>
            <w:vAlign w:val="center"/>
          </w:tcPr>
          <w:p w14:paraId="00227F8B">
            <w:pPr>
              <w:widowControl/>
              <w:jc w:val="center"/>
              <w:rPr>
                <w:rFonts w:ascii="宋体" w:hAnsi="宋体" w:cs="宋体"/>
                <w:kern w:val="0"/>
                <w:sz w:val="18"/>
                <w:szCs w:val="18"/>
              </w:rPr>
            </w:pPr>
            <w:r>
              <w:rPr>
                <w:rFonts w:hint="eastAsia" w:ascii="宋体" w:hAnsi="宋体" w:cs="宋体"/>
                <w:kern w:val="0"/>
                <w:sz w:val="18"/>
                <w:szCs w:val="18"/>
              </w:rPr>
              <w:t>100%</w:t>
            </w:r>
          </w:p>
        </w:tc>
        <w:tc>
          <w:tcPr>
            <w:tcW w:w="1060" w:type="dxa"/>
            <w:tcBorders>
              <w:top w:val="nil"/>
              <w:left w:val="nil"/>
              <w:bottom w:val="single" w:color="auto" w:sz="4" w:space="0"/>
              <w:right w:val="single" w:color="auto" w:sz="4" w:space="0"/>
            </w:tcBorders>
            <w:shd w:val="clear" w:color="auto" w:fill="auto"/>
            <w:vAlign w:val="center"/>
          </w:tcPr>
          <w:p w14:paraId="4267AFF1">
            <w:pPr>
              <w:widowControl/>
              <w:jc w:val="left"/>
              <w:rPr>
                <w:rFonts w:ascii="宋体" w:hAnsi="宋体" w:cs="宋体"/>
                <w:kern w:val="0"/>
                <w:sz w:val="18"/>
                <w:szCs w:val="18"/>
              </w:rPr>
            </w:pPr>
            <w:r>
              <w:rPr>
                <w:rFonts w:hint="eastAsia" w:ascii="宋体" w:hAnsi="宋体" w:cs="宋体"/>
                <w:kern w:val="0"/>
                <w:sz w:val="18"/>
                <w:szCs w:val="18"/>
              </w:rPr>
              <w:t>　</w:t>
            </w:r>
          </w:p>
        </w:tc>
      </w:tr>
      <w:tr w14:paraId="5D1F85FA">
        <w:tblPrEx>
          <w:tblCellMar>
            <w:top w:w="0" w:type="dxa"/>
            <w:left w:w="108" w:type="dxa"/>
            <w:bottom w:w="0" w:type="dxa"/>
            <w:right w:w="108" w:type="dxa"/>
          </w:tblCellMar>
        </w:tblPrEx>
        <w:trPr>
          <w:trHeight w:val="360" w:hRule="atLeast"/>
        </w:trPr>
        <w:tc>
          <w:tcPr>
            <w:tcW w:w="740" w:type="dxa"/>
            <w:vMerge w:val="continue"/>
            <w:tcBorders>
              <w:top w:val="nil"/>
              <w:left w:val="single" w:color="auto" w:sz="4" w:space="0"/>
              <w:bottom w:val="single" w:color="auto" w:sz="4" w:space="0"/>
              <w:right w:val="single" w:color="auto" w:sz="4" w:space="0"/>
            </w:tcBorders>
            <w:vAlign w:val="center"/>
          </w:tcPr>
          <w:p w14:paraId="223529E2">
            <w:pPr>
              <w:widowControl/>
              <w:jc w:val="left"/>
              <w:rPr>
                <w:rFonts w:ascii="宋体" w:hAnsi="宋体" w:cs="宋体"/>
                <w:kern w:val="0"/>
                <w:sz w:val="18"/>
                <w:szCs w:val="18"/>
              </w:rPr>
            </w:pP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282CEBEA">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293CDBA1">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460" w:type="dxa"/>
            <w:tcBorders>
              <w:top w:val="nil"/>
              <w:left w:val="nil"/>
              <w:bottom w:val="single" w:color="auto" w:sz="4" w:space="0"/>
              <w:right w:val="single" w:color="auto" w:sz="4" w:space="0"/>
            </w:tcBorders>
            <w:shd w:val="clear" w:color="auto" w:fill="auto"/>
            <w:vAlign w:val="center"/>
          </w:tcPr>
          <w:p w14:paraId="7950446F">
            <w:pPr>
              <w:widowControl/>
              <w:jc w:val="left"/>
              <w:rPr>
                <w:rFonts w:ascii="宋体" w:hAnsi="宋体" w:cs="宋体"/>
                <w:kern w:val="0"/>
                <w:sz w:val="18"/>
                <w:szCs w:val="18"/>
              </w:rPr>
            </w:pPr>
            <w:r>
              <w:rPr>
                <w:rFonts w:hint="eastAsia" w:ascii="宋体" w:hAnsi="宋体" w:cs="宋体"/>
                <w:kern w:val="0"/>
                <w:sz w:val="18"/>
                <w:szCs w:val="18"/>
              </w:rPr>
              <w:t>市领导满意度</w:t>
            </w:r>
          </w:p>
        </w:tc>
        <w:tc>
          <w:tcPr>
            <w:tcW w:w="1360" w:type="dxa"/>
            <w:tcBorders>
              <w:top w:val="nil"/>
              <w:left w:val="nil"/>
              <w:bottom w:val="single" w:color="auto" w:sz="4" w:space="0"/>
              <w:right w:val="single" w:color="auto" w:sz="4" w:space="0"/>
            </w:tcBorders>
            <w:shd w:val="clear" w:color="auto" w:fill="auto"/>
            <w:vAlign w:val="center"/>
          </w:tcPr>
          <w:p w14:paraId="64342684">
            <w:pPr>
              <w:widowControl/>
              <w:jc w:val="left"/>
              <w:rPr>
                <w:rFonts w:ascii="宋体" w:hAnsi="宋体" w:cs="宋体"/>
                <w:kern w:val="0"/>
                <w:sz w:val="18"/>
                <w:szCs w:val="18"/>
              </w:rPr>
            </w:pPr>
            <w:r>
              <w:rPr>
                <w:rFonts w:hint="eastAsia" w:ascii="宋体" w:hAnsi="宋体" w:cs="宋体"/>
                <w:kern w:val="0"/>
                <w:sz w:val="18"/>
                <w:szCs w:val="18"/>
              </w:rPr>
              <w:t>≥95%</w:t>
            </w:r>
          </w:p>
        </w:tc>
        <w:tc>
          <w:tcPr>
            <w:tcW w:w="1480" w:type="dxa"/>
            <w:tcBorders>
              <w:top w:val="nil"/>
              <w:left w:val="nil"/>
              <w:bottom w:val="single" w:color="auto" w:sz="4" w:space="0"/>
              <w:right w:val="single" w:color="auto" w:sz="4" w:space="0"/>
            </w:tcBorders>
            <w:shd w:val="clear" w:color="auto" w:fill="auto"/>
            <w:vAlign w:val="center"/>
          </w:tcPr>
          <w:p w14:paraId="3C16B52F">
            <w:pPr>
              <w:widowControl/>
              <w:jc w:val="center"/>
              <w:rPr>
                <w:rFonts w:ascii="仿宋" w:hAnsi="仿宋" w:eastAsia="仿宋" w:cs="宋体"/>
                <w:kern w:val="0"/>
                <w:sz w:val="18"/>
                <w:szCs w:val="18"/>
              </w:rPr>
            </w:pPr>
            <w:r>
              <w:rPr>
                <w:rFonts w:hint="eastAsia" w:ascii="仿宋" w:hAnsi="仿宋" w:eastAsia="仿宋" w:cs="宋体"/>
                <w:kern w:val="0"/>
                <w:sz w:val="18"/>
                <w:szCs w:val="18"/>
              </w:rPr>
              <w:t>80%（含）-100%</w:t>
            </w:r>
          </w:p>
        </w:tc>
        <w:tc>
          <w:tcPr>
            <w:tcW w:w="700" w:type="dxa"/>
            <w:tcBorders>
              <w:top w:val="nil"/>
              <w:left w:val="nil"/>
              <w:bottom w:val="single" w:color="auto" w:sz="4" w:space="0"/>
              <w:right w:val="single" w:color="auto" w:sz="4" w:space="0"/>
            </w:tcBorders>
            <w:shd w:val="clear" w:color="auto" w:fill="auto"/>
            <w:vAlign w:val="center"/>
          </w:tcPr>
          <w:p w14:paraId="4E2F1801">
            <w:pPr>
              <w:widowControl/>
              <w:jc w:val="center"/>
              <w:rPr>
                <w:rFonts w:ascii="宋体" w:hAnsi="宋体" w:cs="宋体"/>
                <w:kern w:val="0"/>
                <w:sz w:val="18"/>
                <w:szCs w:val="18"/>
              </w:rPr>
            </w:pPr>
            <w:r>
              <w:rPr>
                <w:rFonts w:hint="eastAsia" w:ascii="宋体" w:hAnsi="宋体" w:cs="宋体"/>
                <w:kern w:val="0"/>
                <w:sz w:val="18"/>
                <w:szCs w:val="18"/>
              </w:rPr>
              <w:t>100%</w:t>
            </w:r>
          </w:p>
        </w:tc>
        <w:tc>
          <w:tcPr>
            <w:tcW w:w="1060" w:type="dxa"/>
            <w:tcBorders>
              <w:top w:val="nil"/>
              <w:left w:val="nil"/>
              <w:bottom w:val="single" w:color="auto" w:sz="4" w:space="0"/>
              <w:right w:val="single" w:color="auto" w:sz="4" w:space="0"/>
            </w:tcBorders>
            <w:shd w:val="clear" w:color="auto" w:fill="auto"/>
            <w:vAlign w:val="center"/>
          </w:tcPr>
          <w:p w14:paraId="3763BD29">
            <w:pPr>
              <w:widowControl/>
              <w:jc w:val="left"/>
              <w:rPr>
                <w:rFonts w:ascii="宋体" w:hAnsi="宋体" w:cs="宋体"/>
                <w:kern w:val="0"/>
                <w:sz w:val="18"/>
                <w:szCs w:val="18"/>
              </w:rPr>
            </w:pPr>
            <w:r>
              <w:rPr>
                <w:rFonts w:hint="eastAsia" w:ascii="宋体" w:hAnsi="宋体" w:cs="宋体"/>
                <w:kern w:val="0"/>
                <w:sz w:val="18"/>
                <w:szCs w:val="18"/>
              </w:rPr>
              <w:t>　</w:t>
            </w:r>
          </w:p>
        </w:tc>
      </w:tr>
      <w:tr w14:paraId="25B79CF2">
        <w:tblPrEx>
          <w:tblCellMar>
            <w:top w:w="0" w:type="dxa"/>
            <w:left w:w="108" w:type="dxa"/>
            <w:bottom w:w="0" w:type="dxa"/>
            <w:right w:w="108" w:type="dxa"/>
          </w:tblCellMar>
        </w:tblPrEx>
        <w:trPr>
          <w:trHeight w:val="360" w:hRule="atLeast"/>
        </w:trPr>
        <w:tc>
          <w:tcPr>
            <w:tcW w:w="740" w:type="dxa"/>
            <w:vMerge w:val="continue"/>
            <w:tcBorders>
              <w:top w:val="nil"/>
              <w:left w:val="single" w:color="auto" w:sz="4" w:space="0"/>
              <w:bottom w:val="single" w:color="auto" w:sz="4" w:space="0"/>
              <w:right w:val="single" w:color="auto" w:sz="4" w:space="0"/>
            </w:tcBorders>
            <w:vAlign w:val="center"/>
          </w:tcPr>
          <w:p w14:paraId="11A48FD9">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021A5EEA">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14:paraId="54BCFDFA">
            <w:pPr>
              <w:widowControl/>
              <w:jc w:val="left"/>
              <w:rPr>
                <w:rFonts w:ascii="宋体" w:hAnsi="宋体" w:cs="宋体"/>
                <w:kern w:val="0"/>
                <w:sz w:val="18"/>
                <w:szCs w:val="18"/>
              </w:rPr>
            </w:pPr>
          </w:p>
        </w:tc>
        <w:tc>
          <w:tcPr>
            <w:tcW w:w="2460" w:type="dxa"/>
            <w:tcBorders>
              <w:top w:val="nil"/>
              <w:left w:val="nil"/>
              <w:bottom w:val="single" w:color="auto" w:sz="4" w:space="0"/>
              <w:right w:val="single" w:color="auto" w:sz="4" w:space="0"/>
            </w:tcBorders>
            <w:shd w:val="clear" w:color="auto" w:fill="auto"/>
            <w:vAlign w:val="center"/>
          </w:tcPr>
          <w:p w14:paraId="5D4D81C9">
            <w:pPr>
              <w:widowControl/>
              <w:jc w:val="left"/>
              <w:rPr>
                <w:rFonts w:ascii="宋体" w:hAnsi="宋体" w:cs="宋体"/>
                <w:kern w:val="0"/>
                <w:sz w:val="18"/>
                <w:szCs w:val="18"/>
              </w:rPr>
            </w:pPr>
            <w:r>
              <w:rPr>
                <w:rFonts w:hint="eastAsia" w:ascii="宋体" w:hAnsi="宋体" w:cs="宋体"/>
                <w:kern w:val="0"/>
                <w:sz w:val="18"/>
                <w:szCs w:val="18"/>
              </w:rPr>
              <w:t>市级部门、县（区）满意度</w:t>
            </w:r>
          </w:p>
        </w:tc>
        <w:tc>
          <w:tcPr>
            <w:tcW w:w="1360" w:type="dxa"/>
            <w:tcBorders>
              <w:top w:val="nil"/>
              <w:left w:val="nil"/>
              <w:bottom w:val="single" w:color="auto" w:sz="4" w:space="0"/>
              <w:right w:val="single" w:color="auto" w:sz="4" w:space="0"/>
            </w:tcBorders>
            <w:shd w:val="clear" w:color="auto" w:fill="auto"/>
            <w:vAlign w:val="center"/>
          </w:tcPr>
          <w:p w14:paraId="5ABD1375">
            <w:pPr>
              <w:widowControl/>
              <w:jc w:val="left"/>
              <w:rPr>
                <w:rFonts w:ascii="宋体" w:hAnsi="宋体" w:cs="宋体"/>
                <w:kern w:val="0"/>
                <w:sz w:val="18"/>
                <w:szCs w:val="18"/>
              </w:rPr>
            </w:pPr>
            <w:r>
              <w:rPr>
                <w:rFonts w:hint="eastAsia" w:ascii="宋体" w:hAnsi="宋体" w:cs="宋体"/>
                <w:kern w:val="0"/>
                <w:sz w:val="18"/>
                <w:szCs w:val="18"/>
              </w:rPr>
              <w:t>≥95%</w:t>
            </w:r>
          </w:p>
        </w:tc>
        <w:tc>
          <w:tcPr>
            <w:tcW w:w="1480" w:type="dxa"/>
            <w:tcBorders>
              <w:top w:val="nil"/>
              <w:left w:val="nil"/>
              <w:bottom w:val="single" w:color="auto" w:sz="4" w:space="0"/>
              <w:right w:val="single" w:color="auto" w:sz="4" w:space="0"/>
            </w:tcBorders>
            <w:shd w:val="clear" w:color="auto" w:fill="auto"/>
            <w:vAlign w:val="center"/>
          </w:tcPr>
          <w:p w14:paraId="160A4EDE">
            <w:pPr>
              <w:widowControl/>
              <w:jc w:val="center"/>
              <w:rPr>
                <w:rFonts w:ascii="仿宋" w:hAnsi="仿宋" w:eastAsia="仿宋" w:cs="宋体"/>
                <w:kern w:val="0"/>
                <w:sz w:val="18"/>
                <w:szCs w:val="18"/>
              </w:rPr>
            </w:pPr>
            <w:r>
              <w:rPr>
                <w:rFonts w:hint="eastAsia" w:ascii="仿宋" w:hAnsi="仿宋" w:eastAsia="仿宋" w:cs="宋体"/>
                <w:kern w:val="0"/>
                <w:sz w:val="18"/>
                <w:szCs w:val="18"/>
              </w:rPr>
              <w:t>80%（含）-100%</w:t>
            </w:r>
          </w:p>
        </w:tc>
        <w:tc>
          <w:tcPr>
            <w:tcW w:w="700" w:type="dxa"/>
            <w:tcBorders>
              <w:top w:val="nil"/>
              <w:left w:val="nil"/>
              <w:bottom w:val="single" w:color="auto" w:sz="4" w:space="0"/>
              <w:right w:val="single" w:color="auto" w:sz="4" w:space="0"/>
            </w:tcBorders>
            <w:shd w:val="clear" w:color="auto" w:fill="auto"/>
            <w:vAlign w:val="center"/>
          </w:tcPr>
          <w:p w14:paraId="42611202">
            <w:pPr>
              <w:widowControl/>
              <w:jc w:val="center"/>
              <w:rPr>
                <w:rFonts w:ascii="宋体" w:hAnsi="宋体" w:cs="宋体"/>
                <w:kern w:val="0"/>
                <w:sz w:val="18"/>
                <w:szCs w:val="18"/>
              </w:rPr>
            </w:pPr>
            <w:r>
              <w:rPr>
                <w:rFonts w:hint="eastAsia" w:ascii="宋体" w:hAnsi="宋体" w:cs="宋体"/>
                <w:kern w:val="0"/>
                <w:sz w:val="18"/>
                <w:szCs w:val="18"/>
              </w:rPr>
              <w:t>100%</w:t>
            </w:r>
          </w:p>
        </w:tc>
        <w:tc>
          <w:tcPr>
            <w:tcW w:w="1060" w:type="dxa"/>
            <w:tcBorders>
              <w:top w:val="nil"/>
              <w:left w:val="nil"/>
              <w:bottom w:val="single" w:color="auto" w:sz="4" w:space="0"/>
              <w:right w:val="single" w:color="auto" w:sz="4" w:space="0"/>
            </w:tcBorders>
            <w:shd w:val="clear" w:color="auto" w:fill="auto"/>
            <w:vAlign w:val="center"/>
          </w:tcPr>
          <w:p w14:paraId="06777ACD">
            <w:pPr>
              <w:widowControl/>
              <w:jc w:val="left"/>
              <w:rPr>
                <w:rFonts w:ascii="宋体" w:hAnsi="宋体" w:cs="宋体"/>
                <w:kern w:val="0"/>
                <w:sz w:val="18"/>
                <w:szCs w:val="18"/>
              </w:rPr>
            </w:pPr>
            <w:r>
              <w:rPr>
                <w:rFonts w:hint="eastAsia" w:ascii="宋体" w:hAnsi="宋体" w:cs="宋体"/>
                <w:kern w:val="0"/>
                <w:sz w:val="18"/>
                <w:szCs w:val="18"/>
              </w:rPr>
              <w:t>　</w:t>
            </w:r>
          </w:p>
        </w:tc>
      </w:tr>
      <w:tr w14:paraId="366CA2F1">
        <w:tblPrEx>
          <w:tblCellMar>
            <w:top w:w="0" w:type="dxa"/>
            <w:left w:w="108" w:type="dxa"/>
            <w:bottom w:w="0" w:type="dxa"/>
            <w:right w:w="108" w:type="dxa"/>
          </w:tblCellMar>
        </w:tblPrEx>
        <w:trPr>
          <w:trHeight w:val="360" w:hRule="atLeast"/>
        </w:trPr>
        <w:tc>
          <w:tcPr>
            <w:tcW w:w="740" w:type="dxa"/>
            <w:vMerge w:val="continue"/>
            <w:tcBorders>
              <w:top w:val="nil"/>
              <w:left w:val="single" w:color="auto" w:sz="4" w:space="0"/>
              <w:bottom w:val="single" w:color="auto" w:sz="4" w:space="0"/>
              <w:right w:val="single" w:color="auto" w:sz="4" w:space="0"/>
            </w:tcBorders>
            <w:vAlign w:val="center"/>
          </w:tcPr>
          <w:p w14:paraId="70E1647D">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68D6FB75">
            <w:pPr>
              <w:widowControl/>
              <w:jc w:val="left"/>
              <w:rPr>
                <w:rFonts w:ascii="宋体" w:hAns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14:paraId="239294D5">
            <w:pPr>
              <w:widowControl/>
              <w:jc w:val="left"/>
              <w:rPr>
                <w:rFonts w:ascii="宋体" w:hAnsi="宋体" w:cs="宋体"/>
                <w:kern w:val="0"/>
                <w:sz w:val="18"/>
                <w:szCs w:val="18"/>
              </w:rPr>
            </w:pPr>
          </w:p>
        </w:tc>
        <w:tc>
          <w:tcPr>
            <w:tcW w:w="2460" w:type="dxa"/>
            <w:tcBorders>
              <w:top w:val="nil"/>
              <w:left w:val="nil"/>
              <w:bottom w:val="single" w:color="auto" w:sz="4" w:space="0"/>
              <w:right w:val="single" w:color="auto" w:sz="4" w:space="0"/>
            </w:tcBorders>
            <w:shd w:val="clear" w:color="auto" w:fill="auto"/>
            <w:vAlign w:val="center"/>
          </w:tcPr>
          <w:p w14:paraId="319CCA68">
            <w:pPr>
              <w:widowControl/>
              <w:jc w:val="left"/>
              <w:rPr>
                <w:rFonts w:ascii="宋体" w:hAnsi="宋体" w:cs="宋体"/>
                <w:kern w:val="0"/>
                <w:sz w:val="18"/>
                <w:szCs w:val="18"/>
              </w:rPr>
            </w:pPr>
            <w:r>
              <w:rPr>
                <w:rFonts w:hint="eastAsia" w:ascii="宋体" w:hAnsi="宋体" w:cs="宋体"/>
                <w:kern w:val="0"/>
                <w:sz w:val="18"/>
                <w:szCs w:val="18"/>
              </w:rPr>
              <w:t>市内相关企业满意度</w:t>
            </w:r>
          </w:p>
        </w:tc>
        <w:tc>
          <w:tcPr>
            <w:tcW w:w="1360" w:type="dxa"/>
            <w:tcBorders>
              <w:top w:val="nil"/>
              <w:left w:val="nil"/>
              <w:bottom w:val="single" w:color="auto" w:sz="4" w:space="0"/>
              <w:right w:val="single" w:color="auto" w:sz="4" w:space="0"/>
            </w:tcBorders>
            <w:shd w:val="clear" w:color="auto" w:fill="auto"/>
            <w:vAlign w:val="center"/>
          </w:tcPr>
          <w:p w14:paraId="49308AF1">
            <w:pPr>
              <w:widowControl/>
              <w:jc w:val="left"/>
              <w:rPr>
                <w:rFonts w:ascii="宋体" w:hAnsi="宋体" w:cs="宋体"/>
                <w:kern w:val="0"/>
                <w:sz w:val="18"/>
                <w:szCs w:val="18"/>
              </w:rPr>
            </w:pPr>
            <w:r>
              <w:rPr>
                <w:rFonts w:hint="eastAsia" w:ascii="宋体" w:hAnsi="宋体" w:cs="宋体"/>
                <w:kern w:val="0"/>
                <w:sz w:val="18"/>
                <w:szCs w:val="18"/>
              </w:rPr>
              <w:t>≥95%</w:t>
            </w:r>
          </w:p>
        </w:tc>
        <w:tc>
          <w:tcPr>
            <w:tcW w:w="1480" w:type="dxa"/>
            <w:tcBorders>
              <w:top w:val="nil"/>
              <w:left w:val="nil"/>
              <w:bottom w:val="single" w:color="auto" w:sz="4" w:space="0"/>
              <w:right w:val="single" w:color="auto" w:sz="4" w:space="0"/>
            </w:tcBorders>
            <w:shd w:val="clear" w:color="auto" w:fill="auto"/>
            <w:vAlign w:val="center"/>
          </w:tcPr>
          <w:p w14:paraId="56AB92B7">
            <w:pPr>
              <w:widowControl/>
              <w:jc w:val="center"/>
              <w:rPr>
                <w:rFonts w:ascii="仿宋" w:hAnsi="仿宋" w:eastAsia="仿宋" w:cs="宋体"/>
                <w:kern w:val="0"/>
                <w:sz w:val="18"/>
                <w:szCs w:val="18"/>
              </w:rPr>
            </w:pPr>
            <w:r>
              <w:rPr>
                <w:rFonts w:hint="eastAsia" w:ascii="仿宋" w:hAnsi="仿宋" w:eastAsia="仿宋" w:cs="宋体"/>
                <w:kern w:val="0"/>
                <w:sz w:val="18"/>
                <w:szCs w:val="18"/>
              </w:rPr>
              <w:t>80%（含）-100%</w:t>
            </w:r>
          </w:p>
        </w:tc>
        <w:tc>
          <w:tcPr>
            <w:tcW w:w="700" w:type="dxa"/>
            <w:tcBorders>
              <w:top w:val="nil"/>
              <w:left w:val="nil"/>
              <w:bottom w:val="single" w:color="auto" w:sz="4" w:space="0"/>
              <w:right w:val="single" w:color="auto" w:sz="4" w:space="0"/>
            </w:tcBorders>
            <w:shd w:val="clear" w:color="auto" w:fill="auto"/>
            <w:vAlign w:val="center"/>
          </w:tcPr>
          <w:p w14:paraId="494A2BAD">
            <w:pPr>
              <w:widowControl/>
              <w:jc w:val="center"/>
              <w:rPr>
                <w:rFonts w:ascii="宋体" w:hAnsi="宋体" w:cs="宋体"/>
                <w:kern w:val="0"/>
                <w:sz w:val="18"/>
                <w:szCs w:val="18"/>
              </w:rPr>
            </w:pPr>
            <w:r>
              <w:rPr>
                <w:rFonts w:hint="eastAsia" w:ascii="宋体" w:hAnsi="宋体" w:cs="宋体"/>
                <w:kern w:val="0"/>
                <w:sz w:val="18"/>
                <w:szCs w:val="18"/>
              </w:rPr>
              <w:t>100%</w:t>
            </w:r>
          </w:p>
        </w:tc>
        <w:tc>
          <w:tcPr>
            <w:tcW w:w="1060" w:type="dxa"/>
            <w:tcBorders>
              <w:top w:val="nil"/>
              <w:left w:val="nil"/>
              <w:bottom w:val="single" w:color="auto" w:sz="4" w:space="0"/>
              <w:right w:val="single" w:color="auto" w:sz="4" w:space="0"/>
            </w:tcBorders>
            <w:shd w:val="clear" w:color="auto" w:fill="auto"/>
            <w:vAlign w:val="center"/>
          </w:tcPr>
          <w:p w14:paraId="46CF8301">
            <w:pPr>
              <w:widowControl/>
              <w:jc w:val="left"/>
              <w:rPr>
                <w:rFonts w:ascii="宋体" w:hAnsi="宋体" w:cs="宋体"/>
                <w:kern w:val="0"/>
                <w:sz w:val="18"/>
                <w:szCs w:val="18"/>
              </w:rPr>
            </w:pPr>
            <w:r>
              <w:rPr>
                <w:rFonts w:hint="eastAsia" w:ascii="宋体" w:hAnsi="宋体" w:cs="宋体"/>
                <w:kern w:val="0"/>
                <w:sz w:val="18"/>
                <w:szCs w:val="18"/>
              </w:rPr>
              <w:t>　</w:t>
            </w:r>
          </w:p>
        </w:tc>
      </w:tr>
    </w:tbl>
    <w:p w14:paraId="7B6209A9">
      <w:pPr>
        <w:pStyle w:val="2"/>
        <w:spacing w:before="93"/>
        <w:rPr>
          <w:rFonts w:hint="eastAsia"/>
        </w:rPr>
      </w:pPr>
    </w:p>
    <w:tbl>
      <w:tblPr>
        <w:tblStyle w:val="13"/>
        <w:tblW w:w="8640" w:type="dxa"/>
        <w:tblInd w:w="93" w:type="dxa"/>
        <w:tblLayout w:type="autofit"/>
        <w:tblCellMar>
          <w:top w:w="0" w:type="dxa"/>
          <w:left w:w="108" w:type="dxa"/>
          <w:bottom w:w="0" w:type="dxa"/>
          <w:right w:w="108" w:type="dxa"/>
        </w:tblCellMar>
      </w:tblPr>
      <w:tblGrid>
        <w:gridCol w:w="740"/>
        <w:gridCol w:w="740"/>
        <w:gridCol w:w="1120"/>
        <w:gridCol w:w="2020"/>
        <w:gridCol w:w="1420"/>
        <w:gridCol w:w="1120"/>
        <w:gridCol w:w="780"/>
        <w:gridCol w:w="700"/>
      </w:tblGrid>
      <w:tr w14:paraId="7A5A07CC">
        <w:tblPrEx>
          <w:tblCellMar>
            <w:top w:w="0" w:type="dxa"/>
            <w:left w:w="108" w:type="dxa"/>
            <w:bottom w:w="0" w:type="dxa"/>
            <w:right w:w="108" w:type="dxa"/>
          </w:tblCellMar>
        </w:tblPrEx>
        <w:trPr>
          <w:trHeight w:val="675" w:hRule="atLeast"/>
        </w:trPr>
        <w:tc>
          <w:tcPr>
            <w:tcW w:w="8640" w:type="dxa"/>
            <w:gridSpan w:val="8"/>
            <w:tcBorders>
              <w:top w:val="nil"/>
              <w:left w:val="nil"/>
              <w:bottom w:val="nil"/>
              <w:right w:val="nil"/>
            </w:tcBorders>
            <w:shd w:val="clear" w:color="auto" w:fill="auto"/>
            <w:vAlign w:val="center"/>
          </w:tcPr>
          <w:p w14:paraId="7FDF559E">
            <w:pPr>
              <w:widowControl/>
              <w:jc w:val="center"/>
              <w:rPr>
                <w:rFonts w:ascii="宋体" w:hAnsi="宋体" w:cs="宋体"/>
                <w:b/>
                <w:bCs/>
                <w:kern w:val="0"/>
                <w:sz w:val="32"/>
                <w:szCs w:val="32"/>
              </w:rPr>
            </w:pPr>
            <w:r>
              <w:rPr>
                <w:rFonts w:hint="eastAsia" w:ascii="宋体" w:hAnsi="宋体" w:cs="宋体"/>
                <w:b/>
                <w:bCs/>
                <w:kern w:val="0"/>
                <w:sz w:val="32"/>
                <w:szCs w:val="32"/>
              </w:rPr>
              <w:t>专项（项目）资金绩效自评表</w:t>
            </w:r>
          </w:p>
        </w:tc>
      </w:tr>
      <w:tr w14:paraId="72C7D711">
        <w:tblPrEx>
          <w:tblCellMar>
            <w:top w:w="0" w:type="dxa"/>
            <w:left w:w="108" w:type="dxa"/>
            <w:bottom w:w="0" w:type="dxa"/>
            <w:right w:w="108" w:type="dxa"/>
          </w:tblCellMar>
        </w:tblPrEx>
        <w:trPr>
          <w:trHeight w:val="285" w:hRule="atLeast"/>
        </w:trPr>
        <w:tc>
          <w:tcPr>
            <w:tcW w:w="8640" w:type="dxa"/>
            <w:gridSpan w:val="8"/>
            <w:tcBorders>
              <w:top w:val="nil"/>
              <w:left w:val="nil"/>
              <w:bottom w:val="nil"/>
              <w:right w:val="nil"/>
            </w:tcBorders>
            <w:shd w:val="clear" w:color="auto" w:fill="auto"/>
            <w:vAlign w:val="center"/>
          </w:tcPr>
          <w:p w14:paraId="70A004A3">
            <w:pPr>
              <w:widowControl/>
              <w:jc w:val="center"/>
              <w:rPr>
                <w:rFonts w:ascii="宋体" w:hAnsi="宋体" w:cs="宋体"/>
                <w:kern w:val="0"/>
                <w:sz w:val="24"/>
              </w:rPr>
            </w:pPr>
            <w:r>
              <w:rPr>
                <w:rFonts w:hint="eastAsia" w:ascii="宋体" w:hAnsi="宋体" w:cs="宋体"/>
                <w:kern w:val="0"/>
                <w:sz w:val="24"/>
              </w:rPr>
              <w:t>（</w:t>
            </w:r>
            <w:r>
              <w:rPr>
                <w:kern w:val="0"/>
                <w:sz w:val="24"/>
              </w:rPr>
              <w:t>2021</w:t>
            </w:r>
            <w:r>
              <w:rPr>
                <w:rFonts w:hint="eastAsia" w:ascii="宋体" w:hAnsi="宋体" w:cs="宋体"/>
                <w:kern w:val="0"/>
                <w:sz w:val="24"/>
              </w:rPr>
              <w:t>年度）</w:t>
            </w:r>
          </w:p>
        </w:tc>
      </w:tr>
      <w:tr w14:paraId="626DC0F6">
        <w:tblPrEx>
          <w:tblCellMar>
            <w:top w:w="0" w:type="dxa"/>
            <w:left w:w="108" w:type="dxa"/>
            <w:bottom w:w="0" w:type="dxa"/>
            <w:right w:w="108" w:type="dxa"/>
          </w:tblCellMar>
        </w:tblPrEx>
        <w:trPr>
          <w:trHeight w:val="435" w:hRule="atLeast"/>
        </w:trPr>
        <w:tc>
          <w:tcPr>
            <w:tcW w:w="740" w:type="dxa"/>
            <w:tcBorders>
              <w:top w:val="nil"/>
              <w:left w:val="nil"/>
              <w:bottom w:val="single" w:color="auto" w:sz="4" w:space="0"/>
              <w:right w:val="nil"/>
            </w:tcBorders>
            <w:shd w:val="clear" w:color="auto" w:fill="auto"/>
            <w:noWrap/>
            <w:vAlign w:val="center"/>
          </w:tcPr>
          <w:p w14:paraId="04CD4670">
            <w:pPr>
              <w:widowControl/>
              <w:jc w:val="left"/>
              <w:rPr>
                <w:rFonts w:ascii="宋体" w:hAnsi="宋体" w:cs="宋体"/>
                <w:kern w:val="0"/>
                <w:sz w:val="24"/>
              </w:rPr>
            </w:pPr>
          </w:p>
        </w:tc>
        <w:tc>
          <w:tcPr>
            <w:tcW w:w="740" w:type="dxa"/>
            <w:tcBorders>
              <w:top w:val="nil"/>
              <w:left w:val="nil"/>
              <w:bottom w:val="single" w:color="auto" w:sz="4" w:space="0"/>
              <w:right w:val="nil"/>
            </w:tcBorders>
            <w:shd w:val="clear" w:color="auto" w:fill="auto"/>
            <w:vAlign w:val="center"/>
          </w:tcPr>
          <w:p w14:paraId="19C1C543">
            <w:pPr>
              <w:widowControl/>
              <w:jc w:val="left"/>
              <w:rPr>
                <w:rFonts w:ascii="宋体" w:hAnsi="宋体" w:cs="宋体"/>
                <w:kern w:val="0"/>
                <w:sz w:val="24"/>
              </w:rPr>
            </w:pPr>
          </w:p>
        </w:tc>
        <w:tc>
          <w:tcPr>
            <w:tcW w:w="1120" w:type="dxa"/>
            <w:tcBorders>
              <w:top w:val="nil"/>
              <w:left w:val="nil"/>
              <w:bottom w:val="nil"/>
              <w:right w:val="nil"/>
            </w:tcBorders>
            <w:shd w:val="clear" w:color="auto" w:fill="auto"/>
            <w:vAlign w:val="center"/>
          </w:tcPr>
          <w:p w14:paraId="797B1D73">
            <w:pPr>
              <w:widowControl/>
              <w:jc w:val="left"/>
              <w:rPr>
                <w:rFonts w:ascii="宋体" w:hAnsi="宋体" w:cs="宋体"/>
                <w:kern w:val="0"/>
                <w:sz w:val="24"/>
              </w:rPr>
            </w:pPr>
          </w:p>
        </w:tc>
        <w:tc>
          <w:tcPr>
            <w:tcW w:w="2020" w:type="dxa"/>
            <w:tcBorders>
              <w:top w:val="nil"/>
              <w:left w:val="nil"/>
              <w:bottom w:val="nil"/>
              <w:right w:val="nil"/>
            </w:tcBorders>
            <w:shd w:val="clear" w:color="auto" w:fill="auto"/>
            <w:vAlign w:val="center"/>
          </w:tcPr>
          <w:p w14:paraId="6AEE9C43">
            <w:pPr>
              <w:widowControl/>
              <w:jc w:val="left"/>
              <w:rPr>
                <w:rFonts w:ascii="宋体" w:hAnsi="宋体" w:cs="宋体"/>
                <w:kern w:val="0"/>
                <w:sz w:val="24"/>
              </w:rPr>
            </w:pPr>
          </w:p>
        </w:tc>
        <w:tc>
          <w:tcPr>
            <w:tcW w:w="1420" w:type="dxa"/>
            <w:tcBorders>
              <w:top w:val="nil"/>
              <w:left w:val="nil"/>
              <w:bottom w:val="nil"/>
              <w:right w:val="nil"/>
            </w:tcBorders>
            <w:shd w:val="clear" w:color="auto" w:fill="auto"/>
            <w:vAlign w:val="center"/>
          </w:tcPr>
          <w:p w14:paraId="347F6F9F">
            <w:pPr>
              <w:widowControl/>
              <w:jc w:val="left"/>
              <w:rPr>
                <w:rFonts w:ascii="宋体" w:hAnsi="宋体" w:cs="宋体"/>
                <w:kern w:val="0"/>
                <w:sz w:val="24"/>
              </w:rPr>
            </w:pPr>
          </w:p>
        </w:tc>
        <w:tc>
          <w:tcPr>
            <w:tcW w:w="1120" w:type="dxa"/>
            <w:tcBorders>
              <w:top w:val="nil"/>
              <w:left w:val="nil"/>
              <w:bottom w:val="nil"/>
              <w:right w:val="nil"/>
            </w:tcBorders>
            <w:shd w:val="clear" w:color="auto" w:fill="auto"/>
            <w:vAlign w:val="center"/>
          </w:tcPr>
          <w:p w14:paraId="474C814C">
            <w:pPr>
              <w:widowControl/>
              <w:jc w:val="left"/>
              <w:rPr>
                <w:rFonts w:ascii="宋体" w:hAnsi="宋体" w:cs="宋体"/>
                <w:kern w:val="0"/>
                <w:sz w:val="24"/>
              </w:rPr>
            </w:pPr>
          </w:p>
        </w:tc>
        <w:tc>
          <w:tcPr>
            <w:tcW w:w="780" w:type="dxa"/>
            <w:tcBorders>
              <w:top w:val="nil"/>
              <w:left w:val="nil"/>
              <w:bottom w:val="nil"/>
              <w:right w:val="nil"/>
            </w:tcBorders>
            <w:shd w:val="clear" w:color="auto" w:fill="auto"/>
            <w:vAlign w:val="center"/>
          </w:tcPr>
          <w:p w14:paraId="6275A2DF">
            <w:pPr>
              <w:widowControl/>
              <w:jc w:val="left"/>
              <w:rPr>
                <w:rFonts w:ascii="宋体" w:hAnsi="宋体" w:cs="宋体"/>
                <w:kern w:val="0"/>
                <w:sz w:val="24"/>
              </w:rPr>
            </w:pPr>
          </w:p>
        </w:tc>
        <w:tc>
          <w:tcPr>
            <w:tcW w:w="700" w:type="dxa"/>
            <w:tcBorders>
              <w:top w:val="nil"/>
              <w:left w:val="nil"/>
              <w:bottom w:val="nil"/>
              <w:right w:val="nil"/>
            </w:tcBorders>
            <w:shd w:val="clear" w:color="auto" w:fill="auto"/>
            <w:vAlign w:val="center"/>
          </w:tcPr>
          <w:p w14:paraId="3FDE6B14">
            <w:pPr>
              <w:widowControl/>
              <w:jc w:val="left"/>
              <w:rPr>
                <w:rFonts w:ascii="宋体" w:hAnsi="宋体" w:cs="宋体"/>
                <w:kern w:val="0"/>
                <w:sz w:val="24"/>
              </w:rPr>
            </w:pPr>
          </w:p>
        </w:tc>
      </w:tr>
      <w:tr w14:paraId="439C9E7B">
        <w:tblPrEx>
          <w:tblCellMar>
            <w:top w:w="0" w:type="dxa"/>
            <w:left w:w="108" w:type="dxa"/>
            <w:bottom w:w="0" w:type="dxa"/>
            <w:right w:w="108" w:type="dxa"/>
          </w:tblCellMar>
        </w:tblPrEx>
        <w:trPr>
          <w:trHeight w:val="439" w:hRule="atLeast"/>
        </w:trPr>
        <w:tc>
          <w:tcPr>
            <w:tcW w:w="26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E3CB8A5">
            <w:pPr>
              <w:widowControl/>
              <w:jc w:val="center"/>
              <w:rPr>
                <w:rFonts w:ascii="宋体" w:hAnsi="宋体" w:cs="宋体"/>
                <w:kern w:val="0"/>
                <w:sz w:val="18"/>
                <w:szCs w:val="18"/>
              </w:rPr>
            </w:pPr>
            <w:r>
              <w:rPr>
                <w:rFonts w:hint="eastAsia" w:ascii="宋体" w:hAnsi="宋体" w:cs="宋体"/>
                <w:kern w:val="0"/>
                <w:sz w:val="18"/>
                <w:szCs w:val="18"/>
              </w:rPr>
              <w:t>专项（项目）名称</w:t>
            </w:r>
          </w:p>
        </w:tc>
        <w:tc>
          <w:tcPr>
            <w:tcW w:w="6040" w:type="dxa"/>
            <w:gridSpan w:val="5"/>
            <w:tcBorders>
              <w:top w:val="single" w:color="auto" w:sz="4" w:space="0"/>
              <w:left w:val="nil"/>
              <w:bottom w:val="single" w:color="auto" w:sz="4" w:space="0"/>
              <w:right w:val="single" w:color="auto" w:sz="4" w:space="0"/>
            </w:tcBorders>
            <w:shd w:val="clear" w:color="auto" w:fill="auto"/>
            <w:vAlign w:val="center"/>
          </w:tcPr>
          <w:p w14:paraId="3E84A025">
            <w:pPr>
              <w:widowControl/>
              <w:jc w:val="center"/>
              <w:rPr>
                <w:rFonts w:ascii="宋体" w:hAnsi="宋体" w:cs="宋体"/>
                <w:kern w:val="0"/>
                <w:sz w:val="18"/>
                <w:szCs w:val="18"/>
              </w:rPr>
            </w:pPr>
            <w:r>
              <w:rPr>
                <w:rFonts w:hint="eastAsia" w:ascii="宋体" w:hAnsi="宋体" w:cs="宋体"/>
                <w:kern w:val="0"/>
                <w:sz w:val="18"/>
                <w:szCs w:val="18"/>
              </w:rPr>
              <w:t>年优秀人才选拔培养计划经费（“钒钛之光”创业领军人才）</w:t>
            </w:r>
          </w:p>
        </w:tc>
      </w:tr>
      <w:tr w14:paraId="49AF6101">
        <w:tblPrEx>
          <w:tblCellMar>
            <w:top w:w="0" w:type="dxa"/>
            <w:left w:w="108" w:type="dxa"/>
            <w:bottom w:w="0" w:type="dxa"/>
            <w:right w:w="108" w:type="dxa"/>
          </w:tblCellMar>
        </w:tblPrEx>
        <w:trPr>
          <w:trHeight w:val="439" w:hRule="atLeast"/>
        </w:trPr>
        <w:tc>
          <w:tcPr>
            <w:tcW w:w="26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07E574F">
            <w:pPr>
              <w:widowControl/>
              <w:jc w:val="center"/>
              <w:rPr>
                <w:rFonts w:ascii="宋体" w:hAnsi="宋体" w:cs="宋体"/>
                <w:kern w:val="0"/>
                <w:sz w:val="18"/>
                <w:szCs w:val="18"/>
              </w:rPr>
            </w:pPr>
            <w:r>
              <w:rPr>
                <w:rFonts w:hint="eastAsia" w:ascii="宋体" w:hAnsi="宋体" w:cs="宋体"/>
                <w:kern w:val="0"/>
                <w:sz w:val="18"/>
                <w:szCs w:val="18"/>
              </w:rPr>
              <w:t>项目主管单位</w:t>
            </w:r>
          </w:p>
        </w:tc>
        <w:tc>
          <w:tcPr>
            <w:tcW w:w="6040" w:type="dxa"/>
            <w:gridSpan w:val="5"/>
            <w:tcBorders>
              <w:top w:val="single" w:color="auto" w:sz="4" w:space="0"/>
              <w:left w:val="nil"/>
              <w:bottom w:val="single" w:color="auto" w:sz="4" w:space="0"/>
              <w:right w:val="single" w:color="auto" w:sz="4" w:space="0"/>
            </w:tcBorders>
            <w:shd w:val="clear" w:color="auto" w:fill="auto"/>
            <w:vAlign w:val="center"/>
          </w:tcPr>
          <w:p w14:paraId="2BB7506F">
            <w:pPr>
              <w:widowControl/>
              <w:jc w:val="center"/>
              <w:rPr>
                <w:rFonts w:ascii="宋体" w:hAnsi="宋体" w:cs="宋体"/>
                <w:kern w:val="0"/>
                <w:sz w:val="18"/>
                <w:szCs w:val="18"/>
              </w:rPr>
            </w:pPr>
            <w:r>
              <w:rPr>
                <w:rFonts w:hint="eastAsia" w:ascii="宋体" w:hAnsi="宋体" w:cs="宋体"/>
                <w:kern w:val="0"/>
                <w:sz w:val="18"/>
                <w:szCs w:val="18"/>
              </w:rPr>
              <w:t>市经济和信息化局</w:t>
            </w:r>
          </w:p>
        </w:tc>
      </w:tr>
      <w:tr w14:paraId="494C77F9">
        <w:tblPrEx>
          <w:tblCellMar>
            <w:top w:w="0" w:type="dxa"/>
            <w:left w:w="108" w:type="dxa"/>
            <w:bottom w:w="0" w:type="dxa"/>
            <w:right w:w="108" w:type="dxa"/>
          </w:tblCellMar>
        </w:tblPrEx>
        <w:trPr>
          <w:trHeight w:val="439" w:hRule="atLeast"/>
        </w:trPr>
        <w:tc>
          <w:tcPr>
            <w:tcW w:w="260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D89FC78">
            <w:pPr>
              <w:widowControl/>
              <w:jc w:val="center"/>
              <w:rPr>
                <w:rFonts w:ascii="宋体" w:hAnsi="宋体" w:cs="宋体"/>
                <w:kern w:val="0"/>
                <w:sz w:val="18"/>
                <w:szCs w:val="18"/>
              </w:rPr>
            </w:pPr>
            <w:r>
              <w:rPr>
                <w:rFonts w:hint="eastAsia" w:ascii="宋体" w:hAnsi="宋体" w:cs="宋体"/>
                <w:kern w:val="0"/>
                <w:sz w:val="18"/>
                <w:szCs w:val="18"/>
              </w:rPr>
              <w:t>项目实施单位</w:t>
            </w:r>
          </w:p>
        </w:tc>
        <w:tc>
          <w:tcPr>
            <w:tcW w:w="6040" w:type="dxa"/>
            <w:gridSpan w:val="5"/>
            <w:tcBorders>
              <w:top w:val="single" w:color="auto" w:sz="4" w:space="0"/>
              <w:left w:val="nil"/>
              <w:bottom w:val="single" w:color="auto" w:sz="4" w:space="0"/>
              <w:right w:val="single" w:color="000000" w:sz="4" w:space="0"/>
            </w:tcBorders>
            <w:shd w:val="clear" w:color="auto" w:fill="auto"/>
            <w:vAlign w:val="center"/>
          </w:tcPr>
          <w:p w14:paraId="5B849EF2">
            <w:pPr>
              <w:widowControl/>
              <w:jc w:val="center"/>
              <w:rPr>
                <w:rFonts w:ascii="宋体" w:hAnsi="宋体" w:cs="宋体"/>
                <w:kern w:val="0"/>
                <w:sz w:val="18"/>
                <w:szCs w:val="18"/>
              </w:rPr>
            </w:pPr>
            <w:r>
              <w:rPr>
                <w:rFonts w:hint="eastAsia" w:ascii="宋体" w:hAnsi="宋体" w:cs="宋体"/>
                <w:kern w:val="0"/>
                <w:sz w:val="18"/>
                <w:szCs w:val="18"/>
              </w:rPr>
              <w:t>11名攀枝花“钒钛之光”创业领军人才所在单位</w:t>
            </w:r>
          </w:p>
        </w:tc>
      </w:tr>
      <w:tr w14:paraId="0A10FAE9">
        <w:tblPrEx>
          <w:tblCellMar>
            <w:top w:w="0" w:type="dxa"/>
            <w:left w:w="108" w:type="dxa"/>
            <w:bottom w:w="0" w:type="dxa"/>
            <w:right w:w="108" w:type="dxa"/>
          </w:tblCellMar>
        </w:tblPrEx>
        <w:trPr>
          <w:trHeight w:val="439" w:hRule="atLeast"/>
        </w:trPr>
        <w:tc>
          <w:tcPr>
            <w:tcW w:w="260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EA0592">
            <w:pPr>
              <w:widowControl/>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020" w:type="dxa"/>
            <w:tcBorders>
              <w:top w:val="nil"/>
              <w:left w:val="nil"/>
              <w:bottom w:val="single" w:color="auto" w:sz="4" w:space="0"/>
              <w:right w:val="single" w:color="auto" w:sz="4" w:space="0"/>
            </w:tcBorders>
            <w:shd w:val="clear" w:color="auto" w:fill="auto"/>
            <w:vAlign w:val="center"/>
          </w:tcPr>
          <w:p w14:paraId="4627B121">
            <w:pPr>
              <w:widowControl/>
              <w:jc w:val="center"/>
              <w:rPr>
                <w:rFonts w:ascii="宋体" w:hAns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auto" w:sz="4" w:space="0"/>
              <w:right w:val="single" w:color="auto" w:sz="4" w:space="0"/>
            </w:tcBorders>
            <w:shd w:val="clear" w:color="auto" w:fill="auto"/>
            <w:vAlign w:val="center"/>
          </w:tcPr>
          <w:p w14:paraId="126FEB42">
            <w:pPr>
              <w:widowControl/>
              <w:jc w:val="center"/>
              <w:rPr>
                <w:rFonts w:ascii="宋体" w:hAnsi="宋体" w:cs="宋体"/>
                <w:kern w:val="0"/>
                <w:sz w:val="18"/>
                <w:szCs w:val="18"/>
              </w:rPr>
            </w:pPr>
            <w:r>
              <w:rPr>
                <w:rFonts w:hint="eastAsia" w:ascii="宋体" w:hAnsi="宋体" w:cs="宋体"/>
                <w:kern w:val="0"/>
                <w:sz w:val="18"/>
                <w:szCs w:val="18"/>
              </w:rPr>
              <w:t>全年预算数</w:t>
            </w:r>
          </w:p>
        </w:tc>
        <w:tc>
          <w:tcPr>
            <w:tcW w:w="1120" w:type="dxa"/>
            <w:tcBorders>
              <w:top w:val="nil"/>
              <w:left w:val="nil"/>
              <w:bottom w:val="single" w:color="auto" w:sz="4" w:space="0"/>
              <w:right w:val="single" w:color="auto" w:sz="4" w:space="0"/>
            </w:tcBorders>
            <w:shd w:val="clear" w:color="auto" w:fill="auto"/>
            <w:vAlign w:val="center"/>
          </w:tcPr>
          <w:p w14:paraId="79EF3B2F">
            <w:pPr>
              <w:widowControl/>
              <w:jc w:val="center"/>
              <w:rPr>
                <w:rFonts w:ascii="宋体" w:hAnsi="宋体" w:cs="宋体"/>
                <w:kern w:val="0"/>
                <w:sz w:val="18"/>
                <w:szCs w:val="18"/>
              </w:rPr>
            </w:pPr>
            <w:r>
              <w:rPr>
                <w:rFonts w:hint="eastAsia" w:ascii="宋体" w:hAnsi="宋体" w:cs="宋体"/>
                <w:kern w:val="0"/>
                <w:sz w:val="18"/>
                <w:szCs w:val="18"/>
              </w:rPr>
              <w:t>实际完成数</w:t>
            </w:r>
          </w:p>
        </w:tc>
        <w:tc>
          <w:tcPr>
            <w:tcW w:w="1480" w:type="dxa"/>
            <w:gridSpan w:val="2"/>
            <w:tcBorders>
              <w:top w:val="single" w:color="auto" w:sz="4" w:space="0"/>
              <w:left w:val="nil"/>
              <w:bottom w:val="single" w:color="auto" w:sz="4" w:space="0"/>
              <w:right w:val="single" w:color="000000" w:sz="4" w:space="0"/>
            </w:tcBorders>
            <w:shd w:val="clear" w:color="auto" w:fill="auto"/>
            <w:vAlign w:val="center"/>
          </w:tcPr>
          <w:p w14:paraId="49AB38CB">
            <w:pPr>
              <w:widowControl/>
              <w:jc w:val="center"/>
              <w:rPr>
                <w:rFonts w:ascii="宋体" w:hAnsi="宋体" w:cs="宋体"/>
                <w:kern w:val="0"/>
                <w:sz w:val="18"/>
                <w:szCs w:val="18"/>
              </w:rPr>
            </w:pPr>
            <w:r>
              <w:rPr>
                <w:rFonts w:hint="eastAsia" w:ascii="宋体" w:hAnsi="宋体" w:cs="宋体"/>
                <w:kern w:val="0"/>
                <w:sz w:val="18"/>
                <w:szCs w:val="18"/>
              </w:rPr>
              <w:t>执行率（%）</w:t>
            </w:r>
          </w:p>
        </w:tc>
      </w:tr>
      <w:tr w14:paraId="33B63B27">
        <w:tblPrEx>
          <w:tblCellMar>
            <w:top w:w="0" w:type="dxa"/>
            <w:left w:w="108" w:type="dxa"/>
            <w:bottom w:w="0" w:type="dxa"/>
            <w:right w:w="108" w:type="dxa"/>
          </w:tblCellMar>
        </w:tblPrEx>
        <w:trPr>
          <w:trHeight w:val="439" w:hRule="atLeast"/>
        </w:trPr>
        <w:tc>
          <w:tcPr>
            <w:tcW w:w="2600" w:type="dxa"/>
            <w:gridSpan w:val="3"/>
            <w:vMerge w:val="continue"/>
            <w:tcBorders>
              <w:top w:val="single" w:color="auto" w:sz="4" w:space="0"/>
              <w:left w:val="single" w:color="auto" w:sz="4" w:space="0"/>
              <w:bottom w:val="single" w:color="auto" w:sz="4" w:space="0"/>
              <w:right w:val="single" w:color="auto" w:sz="4" w:space="0"/>
            </w:tcBorders>
            <w:vAlign w:val="center"/>
          </w:tcPr>
          <w:p w14:paraId="2B66DFBC">
            <w:pPr>
              <w:widowControl/>
              <w:jc w:val="left"/>
              <w:rPr>
                <w:rFonts w:ascii="宋体" w:hAnsi="宋体" w:cs="宋体"/>
                <w:kern w:val="0"/>
                <w:sz w:val="18"/>
                <w:szCs w:val="18"/>
              </w:rPr>
            </w:pPr>
          </w:p>
        </w:tc>
        <w:tc>
          <w:tcPr>
            <w:tcW w:w="2020" w:type="dxa"/>
            <w:tcBorders>
              <w:top w:val="nil"/>
              <w:left w:val="nil"/>
              <w:bottom w:val="single" w:color="auto" w:sz="4" w:space="0"/>
              <w:right w:val="single" w:color="auto" w:sz="4" w:space="0"/>
            </w:tcBorders>
            <w:shd w:val="clear" w:color="auto" w:fill="auto"/>
            <w:vAlign w:val="center"/>
          </w:tcPr>
          <w:p w14:paraId="29DF9C7F">
            <w:pPr>
              <w:widowControl/>
              <w:jc w:val="left"/>
              <w:rPr>
                <w:rFonts w:ascii="宋体" w:hAnsi="宋体" w:cs="宋体"/>
                <w:kern w:val="0"/>
                <w:sz w:val="18"/>
                <w:szCs w:val="18"/>
              </w:rPr>
            </w:pPr>
            <w:r>
              <w:rPr>
                <w:rFonts w:hint="eastAsia" w:ascii="宋体" w:hAnsi="宋体" w:cs="宋体"/>
                <w:kern w:val="0"/>
                <w:sz w:val="18"/>
                <w:szCs w:val="18"/>
              </w:rPr>
              <w:t xml:space="preserve"> 年度资金总额：</w:t>
            </w:r>
          </w:p>
        </w:tc>
        <w:tc>
          <w:tcPr>
            <w:tcW w:w="1420" w:type="dxa"/>
            <w:tcBorders>
              <w:top w:val="nil"/>
              <w:left w:val="nil"/>
              <w:bottom w:val="single" w:color="auto" w:sz="4" w:space="0"/>
              <w:right w:val="single" w:color="auto" w:sz="4" w:space="0"/>
            </w:tcBorders>
            <w:shd w:val="clear" w:color="auto" w:fill="auto"/>
            <w:vAlign w:val="center"/>
          </w:tcPr>
          <w:p w14:paraId="43C90177">
            <w:pPr>
              <w:widowControl/>
              <w:jc w:val="center"/>
              <w:rPr>
                <w:rFonts w:ascii="宋体" w:hAnsi="宋体" w:cs="宋体"/>
                <w:kern w:val="0"/>
                <w:sz w:val="18"/>
                <w:szCs w:val="18"/>
              </w:rPr>
            </w:pPr>
            <w:r>
              <w:rPr>
                <w:rFonts w:hint="eastAsia" w:ascii="宋体" w:hAnsi="宋体" w:cs="宋体"/>
                <w:kern w:val="0"/>
                <w:sz w:val="18"/>
                <w:szCs w:val="18"/>
              </w:rPr>
              <w:t>33</w:t>
            </w:r>
          </w:p>
        </w:tc>
        <w:tc>
          <w:tcPr>
            <w:tcW w:w="1120" w:type="dxa"/>
            <w:tcBorders>
              <w:top w:val="nil"/>
              <w:left w:val="nil"/>
              <w:bottom w:val="single" w:color="auto" w:sz="4" w:space="0"/>
              <w:right w:val="single" w:color="auto" w:sz="4" w:space="0"/>
            </w:tcBorders>
            <w:shd w:val="clear" w:color="auto" w:fill="auto"/>
            <w:vAlign w:val="center"/>
          </w:tcPr>
          <w:p w14:paraId="4706F89E">
            <w:pPr>
              <w:widowControl/>
              <w:jc w:val="center"/>
              <w:rPr>
                <w:rFonts w:ascii="宋体" w:hAnsi="宋体" w:cs="宋体"/>
                <w:kern w:val="0"/>
                <w:sz w:val="18"/>
                <w:szCs w:val="18"/>
              </w:rPr>
            </w:pPr>
            <w:r>
              <w:rPr>
                <w:rFonts w:hint="eastAsia" w:ascii="宋体" w:hAnsi="宋体" w:cs="宋体"/>
                <w:kern w:val="0"/>
                <w:sz w:val="18"/>
                <w:szCs w:val="18"/>
              </w:rPr>
              <w:t>33</w:t>
            </w:r>
          </w:p>
        </w:tc>
        <w:tc>
          <w:tcPr>
            <w:tcW w:w="1480" w:type="dxa"/>
            <w:gridSpan w:val="2"/>
            <w:tcBorders>
              <w:top w:val="single" w:color="auto" w:sz="4" w:space="0"/>
              <w:left w:val="nil"/>
              <w:bottom w:val="single" w:color="auto" w:sz="4" w:space="0"/>
              <w:right w:val="single" w:color="000000" w:sz="4" w:space="0"/>
            </w:tcBorders>
            <w:shd w:val="clear" w:color="auto" w:fill="auto"/>
            <w:vAlign w:val="center"/>
          </w:tcPr>
          <w:p w14:paraId="66F50D4C">
            <w:pPr>
              <w:widowControl/>
              <w:jc w:val="center"/>
              <w:rPr>
                <w:rFonts w:ascii="宋体" w:hAnsi="宋体" w:cs="宋体"/>
                <w:kern w:val="0"/>
                <w:sz w:val="18"/>
                <w:szCs w:val="18"/>
              </w:rPr>
            </w:pPr>
            <w:r>
              <w:rPr>
                <w:rFonts w:hint="eastAsia" w:ascii="宋体" w:hAnsi="宋体" w:cs="宋体"/>
                <w:kern w:val="0"/>
                <w:sz w:val="18"/>
                <w:szCs w:val="18"/>
              </w:rPr>
              <w:t>100%</w:t>
            </w:r>
          </w:p>
        </w:tc>
      </w:tr>
      <w:tr w14:paraId="78679C76">
        <w:tblPrEx>
          <w:tblCellMar>
            <w:top w:w="0" w:type="dxa"/>
            <w:left w:w="108" w:type="dxa"/>
            <w:bottom w:w="0" w:type="dxa"/>
            <w:right w:w="108" w:type="dxa"/>
          </w:tblCellMar>
        </w:tblPrEx>
        <w:trPr>
          <w:trHeight w:val="439" w:hRule="atLeast"/>
        </w:trPr>
        <w:tc>
          <w:tcPr>
            <w:tcW w:w="2600" w:type="dxa"/>
            <w:gridSpan w:val="3"/>
            <w:vMerge w:val="continue"/>
            <w:tcBorders>
              <w:top w:val="single" w:color="auto" w:sz="4" w:space="0"/>
              <w:left w:val="single" w:color="auto" w:sz="4" w:space="0"/>
              <w:bottom w:val="single" w:color="auto" w:sz="4" w:space="0"/>
              <w:right w:val="single" w:color="auto" w:sz="4" w:space="0"/>
            </w:tcBorders>
            <w:vAlign w:val="center"/>
          </w:tcPr>
          <w:p w14:paraId="741B0DE0">
            <w:pPr>
              <w:widowControl/>
              <w:jc w:val="left"/>
              <w:rPr>
                <w:rFonts w:ascii="宋体" w:hAnsi="宋体" w:cs="宋体"/>
                <w:kern w:val="0"/>
                <w:sz w:val="18"/>
                <w:szCs w:val="18"/>
              </w:rPr>
            </w:pPr>
          </w:p>
        </w:tc>
        <w:tc>
          <w:tcPr>
            <w:tcW w:w="2020" w:type="dxa"/>
            <w:tcBorders>
              <w:top w:val="nil"/>
              <w:left w:val="nil"/>
              <w:bottom w:val="single" w:color="auto" w:sz="4" w:space="0"/>
              <w:right w:val="single" w:color="auto" w:sz="4" w:space="0"/>
            </w:tcBorders>
            <w:shd w:val="clear" w:color="auto" w:fill="auto"/>
            <w:vAlign w:val="center"/>
          </w:tcPr>
          <w:p w14:paraId="0C4EB3E8">
            <w:pPr>
              <w:widowControl/>
              <w:jc w:val="left"/>
              <w:rPr>
                <w:rFonts w:ascii="宋体" w:hAnsi="宋体" w:cs="宋体"/>
                <w:kern w:val="0"/>
                <w:sz w:val="18"/>
                <w:szCs w:val="18"/>
              </w:rPr>
            </w:pPr>
            <w:r>
              <w:rPr>
                <w:rFonts w:hint="eastAsia" w:ascii="宋体" w:hAnsi="宋体" w:cs="宋体"/>
                <w:kern w:val="0"/>
                <w:sz w:val="18"/>
                <w:szCs w:val="18"/>
              </w:rPr>
              <w:t xml:space="preserve">   其中：上级财政资金</w:t>
            </w:r>
          </w:p>
        </w:tc>
        <w:tc>
          <w:tcPr>
            <w:tcW w:w="1420" w:type="dxa"/>
            <w:tcBorders>
              <w:top w:val="nil"/>
              <w:left w:val="nil"/>
              <w:bottom w:val="single" w:color="auto" w:sz="4" w:space="0"/>
              <w:right w:val="single" w:color="auto" w:sz="4" w:space="0"/>
            </w:tcBorders>
            <w:shd w:val="clear" w:color="auto" w:fill="auto"/>
            <w:vAlign w:val="center"/>
          </w:tcPr>
          <w:p w14:paraId="0AA7E64C">
            <w:pPr>
              <w:widowControl/>
              <w:jc w:val="center"/>
              <w:rPr>
                <w:rFonts w:ascii="宋体" w:hAnsi="宋体" w:cs="宋体"/>
                <w:kern w:val="0"/>
                <w:sz w:val="18"/>
                <w:szCs w:val="18"/>
              </w:rPr>
            </w:pPr>
            <w:r>
              <w:rPr>
                <w:rFonts w:hint="eastAsia" w:ascii="宋体" w:hAnsi="宋体" w:cs="宋体"/>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14:paraId="6F67E373">
            <w:pPr>
              <w:widowControl/>
              <w:jc w:val="center"/>
              <w:rPr>
                <w:rFonts w:ascii="宋体" w:hAnsi="宋体" w:cs="宋体"/>
                <w:kern w:val="0"/>
                <w:sz w:val="18"/>
                <w:szCs w:val="18"/>
              </w:rPr>
            </w:pPr>
            <w:r>
              <w:rPr>
                <w:rFonts w:hint="eastAsia" w:ascii="宋体" w:hAnsi="宋体" w:cs="宋体"/>
                <w:kern w:val="0"/>
                <w:sz w:val="18"/>
                <w:szCs w:val="18"/>
              </w:rPr>
              <w:t>　</w:t>
            </w:r>
          </w:p>
        </w:tc>
        <w:tc>
          <w:tcPr>
            <w:tcW w:w="1480" w:type="dxa"/>
            <w:gridSpan w:val="2"/>
            <w:tcBorders>
              <w:top w:val="single" w:color="auto" w:sz="4" w:space="0"/>
              <w:left w:val="nil"/>
              <w:bottom w:val="single" w:color="auto" w:sz="4" w:space="0"/>
              <w:right w:val="single" w:color="000000" w:sz="4" w:space="0"/>
            </w:tcBorders>
            <w:shd w:val="clear" w:color="auto" w:fill="auto"/>
            <w:vAlign w:val="center"/>
          </w:tcPr>
          <w:p w14:paraId="2E1C38B5">
            <w:pPr>
              <w:widowControl/>
              <w:jc w:val="center"/>
              <w:rPr>
                <w:rFonts w:ascii="宋体" w:hAnsi="宋体" w:cs="宋体"/>
                <w:kern w:val="0"/>
                <w:sz w:val="18"/>
                <w:szCs w:val="18"/>
              </w:rPr>
            </w:pPr>
            <w:r>
              <w:rPr>
                <w:rFonts w:hint="eastAsia" w:ascii="宋体" w:hAnsi="宋体" w:cs="宋体"/>
                <w:kern w:val="0"/>
                <w:sz w:val="18"/>
                <w:szCs w:val="18"/>
              </w:rPr>
              <w:t>　</w:t>
            </w:r>
          </w:p>
        </w:tc>
      </w:tr>
      <w:tr w14:paraId="71BC86A1">
        <w:tblPrEx>
          <w:tblCellMar>
            <w:top w:w="0" w:type="dxa"/>
            <w:left w:w="108" w:type="dxa"/>
            <w:bottom w:w="0" w:type="dxa"/>
            <w:right w:w="108" w:type="dxa"/>
          </w:tblCellMar>
        </w:tblPrEx>
        <w:trPr>
          <w:trHeight w:val="439" w:hRule="atLeast"/>
        </w:trPr>
        <w:tc>
          <w:tcPr>
            <w:tcW w:w="2600" w:type="dxa"/>
            <w:gridSpan w:val="3"/>
            <w:vMerge w:val="continue"/>
            <w:tcBorders>
              <w:top w:val="single" w:color="auto" w:sz="4" w:space="0"/>
              <w:left w:val="single" w:color="auto" w:sz="4" w:space="0"/>
              <w:bottom w:val="single" w:color="auto" w:sz="4" w:space="0"/>
              <w:right w:val="single" w:color="auto" w:sz="4" w:space="0"/>
            </w:tcBorders>
            <w:vAlign w:val="center"/>
          </w:tcPr>
          <w:p w14:paraId="6E02EF49">
            <w:pPr>
              <w:widowControl/>
              <w:jc w:val="left"/>
              <w:rPr>
                <w:rFonts w:ascii="宋体" w:hAnsi="宋体" w:cs="宋体"/>
                <w:kern w:val="0"/>
                <w:sz w:val="18"/>
                <w:szCs w:val="18"/>
              </w:rPr>
            </w:pPr>
          </w:p>
        </w:tc>
        <w:tc>
          <w:tcPr>
            <w:tcW w:w="2020" w:type="dxa"/>
            <w:tcBorders>
              <w:top w:val="nil"/>
              <w:left w:val="nil"/>
              <w:bottom w:val="single" w:color="auto" w:sz="4" w:space="0"/>
              <w:right w:val="single" w:color="auto" w:sz="4" w:space="0"/>
            </w:tcBorders>
            <w:shd w:val="clear" w:color="auto" w:fill="auto"/>
            <w:vAlign w:val="center"/>
          </w:tcPr>
          <w:p w14:paraId="1F2472FB">
            <w:pPr>
              <w:widowControl/>
              <w:jc w:val="left"/>
              <w:rPr>
                <w:rFonts w:ascii="宋体" w:hAnsi="宋体" w:cs="宋体"/>
                <w:kern w:val="0"/>
                <w:sz w:val="18"/>
                <w:szCs w:val="18"/>
              </w:rPr>
            </w:pPr>
            <w:r>
              <w:rPr>
                <w:rFonts w:hint="eastAsia" w:ascii="宋体" w:hAnsi="宋体" w:cs="宋体"/>
                <w:kern w:val="0"/>
                <w:sz w:val="18"/>
                <w:szCs w:val="18"/>
              </w:rPr>
              <w:t xml:space="preserve">         本级财政资金</w:t>
            </w:r>
          </w:p>
        </w:tc>
        <w:tc>
          <w:tcPr>
            <w:tcW w:w="1420" w:type="dxa"/>
            <w:tcBorders>
              <w:top w:val="nil"/>
              <w:left w:val="nil"/>
              <w:bottom w:val="single" w:color="auto" w:sz="4" w:space="0"/>
              <w:right w:val="single" w:color="auto" w:sz="4" w:space="0"/>
            </w:tcBorders>
            <w:shd w:val="clear" w:color="auto" w:fill="auto"/>
            <w:vAlign w:val="center"/>
          </w:tcPr>
          <w:p w14:paraId="4C31916A">
            <w:pPr>
              <w:widowControl/>
              <w:jc w:val="center"/>
              <w:rPr>
                <w:rFonts w:ascii="宋体" w:hAnsi="宋体" w:cs="宋体"/>
                <w:kern w:val="0"/>
                <w:sz w:val="18"/>
                <w:szCs w:val="18"/>
              </w:rPr>
            </w:pPr>
            <w:r>
              <w:rPr>
                <w:rFonts w:hint="eastAsia" w:ascii="宋体" w:hAnsi="宋体" w:cs="宋体"/>
                <w:kern w:val="0"/>
                <w:sz w:val="18"/>
                <w:szCs w:val="18"/>
              </w:rPr>
              <w:t>33</w:t>
            </w:r>
          </w:p>
        </w:tc>
        <w:tc>
          <w:tcPr>
            <w:tcW w:w="1120" w:type="dxa"/>
            <w:tcBorders>
              <w:top w:val="nil"/>
              <w:left w:val="nil"/>
              <w:bottom w:val="single" w:color="auto" w:sz="4" w:space="0"/>
              <w:right w:val="single" w:color="auto" w:sz="4" w:space="0"/>
            </w:tcBorders>
            <w:shd w:val="clear" w:color="auto" w:fill="auto"/>
            <w:vAlign w:val="center"/>
          </w:tcPr>
          <w:p w14:paraId="514225F9">
            <w:pPr>
              <w:widowControl/>
              <w:jc w:val="center"/>
              <w:rPr>
                <w:rFonts w:ascii="宋体" w:hAnsi="宋体" w:cs="宋体"/>
                <w:kern w:val="0"/>
                <w:sz w:val="18"/>
                <w:szCs w:val="18"/>
              </w:rPr>
            </w:pPr>
            <w:r>
              <w:rPr>
                <w:rFonts w:hint="eastAsia" w:ascii="宋体" w:hAnsi="宋体" w:cs="宋体"/>
                <w:kern w:val="0"/>
                <w:sz w:val="18"/>
                <w:szCs w:val="18"/>
              </w:rPr>
              <w:t>33</w:t>
            </w:r>
          </w:p>
        </w:tc>
        <w:tc>
          <w:tcPr>
            <w:tcW w:w="1480" w:type="dxa"/>
            <w:gridSpan w:val="2"/>
            <w:tcBorders>
              <w:top w:val="single" w:color="auto" w:sz="4" w:space="0"/>
              <w:left w:val="nil"/>
              <w:bottom w:val="single" w:color="auto" w:sz="4" w:space="0"/>
              <w:right w:val="single" w:color="000000" w:sz="4" w:space="0"/>
            </w:tcBorders>
            <w:shd w:val="clear" w:color="auto" w:fill="auto"/>
            <w:vAlign w:val="center"/>
          </w:tcPr>
          <w:p w14:paraId="1E00FDE5">
            <w:pPr>
              <w:widowControl/>
              <w:jc w:val="center"/>
              <w:rPr>
                <w:rFonts w:ascii="宋体" w:hAnsi="宋体" w:cs="宋体"/>
                <w:kern w:val="0"/>
                <w:sz w:val="18"/>
                <w:szCs w:val="18"/>
              </w:rPr>
            </w:pPr>
            <w:r>
              <w:rPr>
                <w:rFonts w:hint="eastAsia" w:ascii="宋体" w:hAnsi="宋体" w:cs="宋体"/>
                <w:kern w:val="0"/>
                <w:sz w:val="18"/>
                <w:szCs w:val="18"/>
              </w:rPr>
              <w:t>100%</w:t>
            </w:r>
          </w:p>
        </w:tc>
      </w:tr>
      <w:tr w14:paraId="542F6BFF">
        <w:tblPrEx>
          <w:tblCellMar>
            <w:top w:w="0" w:type="dxa"/>
            <w:left w:w="108" w:type="dxa"/>
            <w:bottom w:w="0" w:type="dxa"/>
            <w:right w:w="108" w:type="dxa"/>
          </w:tblCellMar>
        </w:tblPrEx>
        <w:trPr>
          <w:trHeight w:val="439" w:hRule="atLeast"/>
        </w:trPr>
        <w:tc>
          <w:tcPr>
            <w:tcW w:w="2600" w:type="dxa"/>
            <w:gridSpan w:val="3"/>
            <w:vMerge w:val="continue"/>
            <w:tcBorders>
              <w:top w:val="single" w:color="auto" w:sz="4" w:space="0"/>
              <w:left w:val="single" w:color="auto" w:sz="4" w:space="0"/>
              <w:bottom w:val="single" w:color="auto" w:sz="4" w:space="0"/>
              <w:right w:val="single" w:color="auto" w:sz="4" w:space="0"/>
            </w:tcBorders>
            <w:vAlign w:val="center"/>
          </w:tcPr>
          <w:p w14:paraId="7D4B3E82">
            <w:pPr>
              <w:widowControl/>
              <w:jc w:val="left"/>
              <w:rPr>
                <w:rFonts w:ascii="宋体" w:hAnsi="宋体" w:cs="宋体"/>
                <w:kern w:val="0"/>
                <w:sz w:val="18"/>
                <w:szCs w:val="18"/>
              </w:rPr>
            </w:pPr>
          </w:p>
        </w:tc>
        <w:tc>
          <w:tcPr>
            <w:tcW w:w="2020" w:type="dxa"/>
            <w:tcBorders>
              <w:top w:val="nil"/>
              <w:left w:val="nil"/>
              <w:bottom w:val="single" w:color="auto" w:sz="4" w:space="0"/>
              <w:right w:val="single" w:color="auto" w:sz="4" w:space="0"/>
            </w:tcBorders>
            <w:shd w:val="clear" w:color="auto" w:fill="auto"/>
            <w:vAlign w:val="center"/>
          </w:tcPr>
          <w:p w14:paraId="54D04495">
            <w:pPr>
              <w:widowControl/>
              <w:jc w:val="left"/>
              <w:rPr>
                <w:rFonts w:ascii="宋体" w:hAnsi="宋体" w:cs="宋体"/>
                <w:kern w:val="0"/>
                <w:sz w:val="18"/>
                <w:szCs w:val="18"/>
              </w:rPr>
            </w:pPr>
            <w:r>
              <w:rPr>
                <w:rFonts w:hint="eastAsia" w:ascii="宋体" w:hAnsi="宋体" w:cs="宋体"/>
                <w:kern w:val="0"/>
                <w:sz w:val="18"/>
                <w:szCs w:val="18"/>
              </w:rPr>
              <w:t xml:space="preserve">         其他资金</w:t>
            </w:r>
          </w:p>
        </w:tc>
        <w:tc>
          <w:tcPr>
            <w:tcW w:w="1420" w:type="dxa"/>
            <w:tcBorders>
              <w:top w:val="nil"/>
              <w:left w:val="nil"/>
              <w:bottom w:val="single" w:color="auto" w:sz="4" w:space="0"/>
              <w:right w:val="single" w:color="auto" w:sz="4" w:space="0"/>
            </w:tcBorders>
            <w:shd w:val="clear" w:color="auto" w:fill="auto"/>
            <w:vAlign w:val="center"/>
          </w:tcPr>
          <w:p w14:paraId="35B928B0">
            <w:pPr>
              <w:widowControl/>
              <w:jc w:val="left"/>
              <w:rPr>
                <w:rFonts w:ascii="宋体" w:hAnsi="宋体" w:cs="宋体"/>
                <w:kern w:val="0"/>
                <w:sz w:val="18"/>
                <w:szCs w:val="18"/>
              </w:rPr>
            </w:pPr>
            <w:r>
              <w:rPr>
                <w:rFonts w:hint="eastAsia" w:ascii="宋体" w:hAnsi="宋体" w:cs="宋体"/>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14:paraId="43B04B0C">
            <w:pPr>
              <w:widowControl/>
              <w:jc w:val="left"/>
              <w:rPr>
                <w:rFonts w:ascii="宋体" w:hAnsi="宋体" w:cs="宋体"/>
                <w:kern w:val="0"/>
                <w:sz w:val="18"/>
                <w:szCs w:val="18"/>
              </w:rPr>
            </w:pPr>
            <w:r>
              <w:rPr>
                <w:rFonts w:hint="eastAsia" w:ascii="宋体" w:hAnsi="宋体" w:cs="宋体"/>
                <w:kern w:val="0"/>
                <w:sz w:val="18"/>
                <w:szCs w:val="18"/>
              </w:rPr>
              <w:t>　</w:t>
            </w:r>
          </w:p>
        </w:tc>
        <w:tc>
          <w:tcPr>
            <w:tcW w:w="1480" w:type="dxa"/>
            <w:gridSpan w:val="2"/>
            <w:tcBorders>
              <w:top w:val="single" w:color="auto" w:sz="4" w:space="0"/>
              <w:left w:val="nil"/>
              <w:bottom w:val="single" w:color="auto" w:sz="4" w:space="0"/>
              <w:right w:val="single" w:color="000000" w:sz="4" w:space="0"/>
            </w:tcBorders>
            <w:shd w:val="clear" w:color="auto" w:fill="auto"/>
            <w:vAlign w:val="center"/>
          </w:tcPr>
          <w:p w14:paraId="6642063E">
            <w:pPr>
              <w:widowControl/>
              <w:jc w:val="center"/>
              <w:rPr>
                <w:rFonts w:ascii="宋体" w:hAnsi="宋体" w:cs="宋体"/>
                <w:kern w:val="0"/>
                <w:sz w:val="18"/>
                <w:szCs w:val="18"/>
              </w:rPr>
            </w:pPr>
            <w:r>
              <w:rPr>
                <w:rFonts w:hint="eastAsia" w:ascii="宋体" w:hAnsi="宋体" w:cs="宋体"/>
                <w:kern w:val="0"/>
                <w:sz w:val="18"/>
                <w:szCs w:val="18"/>
              </w:rPr>
              <w:t>　</w:t>
            </w:r>
          </w:p>
        </w:tc>
      </w:tr>
      <w:tr w14:paraId="50407B2E">
        <w:tblPrEx>
          <w:tblCellMar>
            <w:top w:w="0" w:type="dxa"/>
            <w:left w:w="108" w:type="dxa"/>
            <w:bottom w:w="0" w:type="dxa"/>
            <w:right w:w="108" w:type="dxa"/>
          </w:tblCellMar>
        </w:tblPrEx>
        <w:trPr>
          <w:trHeight w:val="439"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64E888F0">
            <w:pPr>
              <w:widowControl/>
              <w:jc w:val="center"/>
              <w:rPr>
                <w:rFonts w:ascii="宋体" w:hAnsi="宋体" w:cs="宋体"/>
                <w:kern w:val="0"/>
                <w:sz w:val="18"/>
                <w:szCs w:val="18"/>
              </w:rPr>
            </w:pPr>
            <w:r>
              <w:rPr>
                <w:rFonts w:hint="eastAsia" w:ascii="宋体" w:hAnsi="宋体" w:cs="宋体"/>
                <w:kern w:val="0"/>
                <w:sz w:val="18"/>
                <w:szCs w:val="18"/>
              </w:rPr>
              <w:t>总</w:t>
            </w:r>
            <w:r>
              <w:rPr>
                <w:rFonts w:hint="eastAsia" w:ascii="宋体" w:hAnsi="宋体" w:cs="宋体"/>
                <w:kern w:val="0"/>
                <w:sz w:val="18"/>
                <w:szCs w:val="18"/>
              </w:rPr>
              <w:br w:type="textWrapping"/>
            </w:r>
            <w:r>
              <w:rPr>
                <w:rFonts w:hint="eastAsia" w:ascii="宋体" w:hAnsi="宋体" w:cs="宋体"/>
                <w:kern w:val="0"/>
                <w:sz w:val="18"/>
                <w:szCs w:val="18"/>
              </w:rPr>
              <w:t>体</w:t>
            </w:r>
            <w:r>
              <w:rPr>
                <w:rFonts w:hint="eastAsia" w:ascii="宋体" w:hAnsi="宋体" w:cs="宋体"/>
                <w:kern w:val="0"/>
                <w:sz w:val="18"/>
                <w:szCs w:val="18"/>
              </w:rPr>
              <w:br w:type="textWrapping"/>
            </w:r>
            <w:r>
              <w:rPr>
                <w:rFonts w:hint="eastAsia" w:ascii="宋体" w:hAnsi="宋体" w:cs="宋体"/>
                <w:kern w:val="0"/>
                <w:sz w:val="18"/>
                <w:szCs w:val="18"/>
              </w:rPr>
              <w:t>目</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3880" w:type="dxa"/>
            <w:gridSpan w:val="3"/>
            <w:tcBorders>
              <w:top w:val="single" w:color="auto" w:sz="4" w:space="0"/>
              <w:left w:val="nil"/>
              <w:bottom w:val="single" w:color="auto" w:sz="4" w:space="0"/>
              <w:right w:val="single" w:color="auto" w:sz="4" w:space="0"/>
            </w:tcBorders>
            <w:shd w:val="clear" w:color="auto" w:fill="auto"/>
            <w:vAlign w:val="center"/>
          </w:tcPr>
          <w:p w14:paraId="2EBC4BED">
            <w:pPr>
              <w:widowControl/>
              <w:jc w:val="center"/>
              <w:rPr>
                <w:rFonts w:ascii="宋体" w:hAnsi="宋体" w:cs="宋体"/>
                <w:kern w:val="0"/>
                <w:sz w:val="18"/>
                <w:szCs w:val="18"/>
              </w:rPr>
            </w:pPr>
            <w:r>
              <w:rPr>
                <w:rFonts w:hint="eastAsia" w:ascii="宋体" w:hAnsi="宋体" w:cs="宋体"/>
                <w:kern w:val="0"/>
                <w:sz w:val="18"/>
                <w:szCs w:val="18"/>
              </w:rPr>
              <w:t>年度设定目标</w:t>
            </w:r>
          </w:p>
        </w:tc>
        <w:tc>
          <w:tcPr>
            <w:tcW w:w="4020" w:type="dxa"/>
            <w:gridSpan w:val="4"/>
            <w:tcBorders>
              <w:top w:val="single" w:color="auto" w:sz="4" w:space="0"/>
              <w:left w:val="nil"/>
              <w:bottom w:val="single" w:color="auto" w:sz="4" w:space="0"/>
              <w:right w:val="single" w:color="auto" w:sz="4" w:space="0"/>
            </w:tcBorders>
            <w:shd w:val="clear" w:color="auto" w:fill="auto"/>
            <w:vAlign w:val="center"/>
          </w:tcPr>
          <w:p w14:paraId="504CCE77">
            <w:pPr>
              <w:widowControl/>
              <w:jc w:val="center"/>
              <w:rPr>
                <w:rFonts w:ascii="宋体" w:hAnsi="宋体" w:cs="宋体"/>
                <w:kern w:val="0"/>
                <w:sz w:val="18"/>
                <w:szCs w:val="18"/>
              </w:rPr>
            </w:pPr>
            <w:r>
              <w:rPr>
                <w:rFonts w:hint="eastAsia" w:ascii="宋体" w:hAnsi="宋体" w:cs="宋体"/>
                <w:kern w:val="0"/>
                <w:sz w:val="18"/>
                <w:szCs w:val="18"/>
              </w:rPr>
              <w:t>实际完成情况</w:t>
            </w:r>
          </w:p>
        </w:tc>
      </w:tr>
      <w:tr w14:paraId="6F365D10">
        <w:tblPrEx>
          <w:tblCellMar>
            <w:top w:w="0" w:type="dxa"/>
            <w:left w:w="108" w:type="dxa"/>
            <w:bottom w:w="0" w:type="dxa"/>
            <w:right w:w="108" w:type="dxa"/>
          </w:tblCellMar>
        </w:tblPrEx>
        <w:trPr>
          <w:trHeight w:val="1002" w:hRule="atLeast"/>
        </w:trPr>
        <w:tc>
          <w:tcPr>
            <w:tcW w:w="740" w:type="dxa"/>
            <w:vMerge w:val="continue"/>
            <w:tcBorders>
              <w:top w:val="nil"/>
              <w:left w:val="single" w:color="auto" w:sz="4" w:space="0"/>
              <w:bottom w:val="single" w:color="auto" w:sz="4" w:space="0"/>
              <w:right w:val="single" w:color="auto" w:sz="4" w:space="0"/>
            </w:tcBorders>
            <w:vAlign w:val="center"/>
          </w:tcPr>
          <w:p w14:paraId="11CD866D">
            <w:pPr>
              <w:widowControl/>
              <w:jc w:val="left"/>
              <w:rPr>
                <w:rFonts w:ascii="宋体" w:hAnsi="宋体" w:cs="宋体"/>
                <w:kern w:val="0"/>
                <w:sz w:val="18"/>
                <w:szCs w:val="18"/>
              </w:rPr>
            </w:pPr>
          </w:p>
        </w:tc>
        <w:tc>
          <w:tcPr>
            <w:tcW w:w="3880" w:type="dxa"/>
            <w:gridSpan w:val="3"/>
            <w:tcBorders>
              <w:top w:val="single" w:color="auto" w:sz="4" w:space="0"/>
              <w:left w:val="nil"/>
              <w:bottom w:val="single" w:color="auto" w:sz="4" w:space="0"/>
              <w:right w:val="single" w:color="auto" w:sz="4" w:space="0"/>
            </w:tcBorders>
            <w:shd w:val="clear" w:color="auto" w:fill="auto"/>
          </w:tcPr>
          <w:p w14:paraId="7C2CDACD">
            <w:pPr>
              <w:widowControl/>
              <w:jc w:val="center"/>
              <w:rPr>
                <w:rFonts w:ascii="宋体" w:hAnsi="宋体" w:cs="宋体"/>
                <w:kern w:val="0"/>
                <w:sz w:val="18"/>
                <w:szCs w:val="18"/>
              </w:rPr>
            </w:pPr>
            <w:r>
              <w:rPr>
                <w:rFonts w:hint="eastAsia" w:ascii="宋体" w:hAnsi="宋体" w:cs="宋体"/>
                <w:kern w:val="0"/>
                <w:sz w:val="18"/>
                <w:szCs w:val="18"/>
              </w:rPr>
              <w:br w:type="textWrapping"/>
            </w:r>
            <w:r>
              <w:rPr>
                <w:rFonts w:hint="eastAsia" w:ascii="宋体" w:hAnsi="宋体" w:cs="宋体"/>
                <w:kern w:val="0"/>
                <w:sz w:val="18"/>
                <w:szCs w:val="18"/>
              </w:rPr>
              <w:t>2019年攀枝花“钒钛之光”创业领军人才入选11名，纳入“攀枝花优秀人才选拔培养计划”进行培养。</w:t>
            </w:r>
          </w:p>
        </w:tc>
        <w:tc>
          <w:tcPr>
            <w:tcW w:w="4020" w:type="dxa"/>
            <w:gridSpan w:val="4"/>
            <w:tcBorders>
              <w:top w:val="single" w:color="auto" w:sz="4" w:space="0"/>
              <w:left w:val="nil"/>
              <w:bottom w:val="single" w:color="auto" w:sz="4" w:space="0"/>
              <w:right w:val="single" w:color="auto" w:sz="4" w:space="0"/>
            </w:tcBorders>
            <w:shd w:val="clear" w:color="auto" w:fill="auto"/>
            <w:vAlign w:val="center"/>
          </w:tcPr>
          <w:p w14:paraId="4A9E9340">
            <w:pPr>
              <w:widowControl/>
              <w:jc w:val="center"/>
              <w:rPr>
                <w:rFonts w:ascii="宋体" w:hAnsi="宋体" w:cs="宋体"/>
                <w:kern w:val="0"/>
                <w:sz w:val="18"/>
                <w:szCs w:val="18"/>
              </w:rPr>
            </w:pPr>
            <w:r>
              <w:rPr>
                <w:rFonts w:hint="eastAsia" w:ascii="宋体" w:hAnsi="宋体" w:cs="宋体"/>
                <w:kern w:val="0"/>
                <w:sz w:val="18"/>
                <w:szCs w:val="18"/>
              </w:rPr>
              <w:t>市经济和信息化局于2021年7月，将优秀人才选拔培养计划经费（“钒钛之光”创业领军人才）33万元全部拨付至用人单位专款专用。</w:t>
            </w:r>
          </w:p>
        </w:tc>
      </w:tr>
      <w:tr w14:paraId="1987A386">
        <w:tblPrEx>
          <w:tblCellMar>
            <w:top w:w="0" w:type="dxa"/>
            <w:left w:w="108" w:type="dxa"/>
            <w:bottom w:w="0" w:type="dxa"/>
            <w:right w:w="108" w:type="dxa"/>
          </w:tblCellMar>
        </w:tblPrEx>
        <w:trPr>
          <w:trHeight w:val="8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70B4B0E5">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740" w:type="dxa"/>
            <w:tcBorders>
              <w:top w:val="nil"/>
              <w:left w:val="nil"/>
              <w:bottom w:val="single" w:color="auto" w:sz="4" w:space="0"/>
              <w:right w:val="single" w:color="auto" w:sz="4" w:space="0"/>
            </w:tcBorders>
            <w:shd w:val="clear" w:color="auto" w:fill="auto"/>
            <w:vAlign w:val="center"/>
          </w:tcPr>
          <w:p w14:paraId="554B7256">
            <w:pPr>
              <w:widowControl/>
              <w:jc w:val="center"/>
              <w:rPr>
                <w:rFonts w:ascii="宋体" w:hAnsi="宋体" w:cs="宋体"/>
                <w:kern w:val="0"/>
                <w:sz w:val="18"/>
                <w:szCs w:val="18"/>
              </w:rPr>
            </w:pPr>
            <w:r>
              <w:rPr>
                <w:rFonts w:hint="eastAsia" w:ascii="宋体" w:hAnsi="宋体" w:cs="宋体"/>
                <w:kern w:val="0"/>
                <w:sz w:val="18"/>
                <w:szCs w:val="18"/>
              </w:rPr>
              <w:t>一级</w:t>
            </w:r>
            <w:r>
              <w:rPr>
                <w:rFonts w:hint="eastAsia" w:ascii="宋体" w:hAnsi="宋体" w:cs="宋体"/>
                <w:kern w:val="0"/>
                <w:sz w:val="18"/>
                <w:szCs w:val="18"/>
              </w:rPr>
              <w:br w:type="textWrapping"/>
            </w:r>
            <w:r>
              <w:rPr>
                <w:rFonts w:hint="eastAsia" w:ascii="宋体" w:hAnsi="宋体" w:cs="宋体"/>
                <w:kern w:val="0"/>
                <w:sz w:val="18"/>
                <w:szCs w:val="18"/>
              </w:rPr>
              <w:t>指标</w:t>
            </w:r>
          </w:p>
        </w:tc>
        <w:tc>
          <w:tcPr>
            <w:tcW w:w="1120" w:type="dxa"/>
            <w:tcBorders>
              <w:top w:val="nil"/>
              <w:left w:val="nil"/>
              <w:bottom w:val="single" w:color="auto" w:sz="4" w:space="0"/>
              <w:right w:val="single" w:color="auto" w:sz="4" w:space="0"/>
            </w:tcBorders>
            <w:shd w:val="clear" w:color="auto" w:fill="auto"/>
            <w:vAlign w:val="center"/>
          </w:tcPr>
          <w:p w14:paraId="19DB1899">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020" w:type="dxa"/>
            <w:tcBorders>
              <w:top w:val="nil"/>
              <w:left w:val="nil"/>
              <w:bottom w:val="single" w:color="auto" w:sz="4" w:space="0"/>
              <w:right w:val="single" w:color="auto" w:sz="4" w:space="0"/>
            </w:tcBorders>
            <w:shd w:val="clear" w:color="auto" w:fill="auto"/>
            <w:vAlign w:val="center"/>
          </w:tcPr>
          <w:p w14:paraId="07CCEF47">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1420" w:type="dxa"/>
            <w:tcBorders>
              <w:top w:val="nil"/>
              <w:left w:val="nil"/>
              <w:bottom w:val="single" w:color="auto" w:sz="4" w:space="0"/>
              <w:right w:val="single" w:color="auto" w:sz="4" w:space="0"/>
            </w:tcBorders>
            <w:shd w:val="clear" w:color="auto" w:fill="auto"/>
            <w:vAlign w:val="center"/>
          </w:tcPr>
          <w:p w14:paraId="6CB58078">
            <w:pPr>
              <w:widowControl/>
              <w:jc w:val="center"/>
              <w:rPr>
                <w:rFonts w:ascii="宋体" w:hAnsi="宋体" w:cs="宋体"/>
                <w:kern w:val="0"/>
                <w:sz w:val="18"/>
                <w:szCs w:val="18"/>
              </w:rPr>
            </w:pPr>
            <w:r>
              <w:rPr>
                <w:rFonts w:hint="eastAsia" w:ascii="宋体" w:hAnsi="宋体" w:cs="宋体"/>
                <w:kern w:val="0"/>
                <w:sz w:val="18"/>
                <w:szCs w:val="18"/>
              </w:rPr>
              <w:t>年度指标值</w:t>
            </w:r>
          </w:p>
        </w:tc>
        <w:tc>
          <w:tcPr>
            <w:tcW w:w="1120" w:type="dxa"/>
            <w:tcBorders>
              <w:top w:val="nil"/>
              <w:left w:val="nil"/>
              <w:bottom w:val="single" w:color="auto" w:sz="4" w:space="0"/>
              <w:right w:val="single" w:color="auto" w:sz="4" w:space="0"/>
            </w:tcBorders>
            <w:shd w:val="clear" w:color="auto" w:fill="auto"/>
            <w:vAlign w:val="center"/>
          </w:tcPr>
          <w:p w14:paraId="52A24B0D">
            <w:pPr>
              <w:widowControl/>
              <w:jc w:val="center"/>
              <w:rPr>
                <w:rFonts w:ascii="宋体" w:hAnsi="宋体" w:cs="宋体"/>
                <w:kern w:val="0"/>
                <w:sz w:val="18"/>
                <w:szCs w:val="18"/>
              </w:rPr>
            </w:pPr>
            <w:r>
              <w:rPr>
                <w:rFonts w:hint="eastAsia" w:ascii="宋体" w:hAnsi="宋体" w:cs="宋体"/>
                <w:kern w:val="0"/>
                <w:sz w:val="18"/>
                <w:szCs w:val="18"/>
              </w:rPr>
              <w:t>实际完成数</w:t>
            </w:r>
          </w:p>
        </w:tc>
        <w:tc>
          <w:tcPr>
            <w:tcW w:w="780" w:type="dxa"/>
            <w:tcBorders>
              <w:top w:val="nil"/>
              <w:left w:val="nil"/>
              <w:bottom w:val="single" w:color="auto" w:sz="4" w:space="0"/>
              <w:right w:val="single" w:color="auto" w:sz="4" w:space="0"/>
            </w:tcBorders>
            <w:shd w:val="clear" w:color="auto" w:fill="auto"/>
            <w:vAlign w:val="center"/>
          </w:tcPr>
          <w:p w14:paraId="7727ADF4">
            <w:pPr>
              <w:widowControl/>
              <w:jc w:val="center"/>
              <w:rPr>
                <w:rFonts w:ascii="宋体" w:hAnsi="宋体" w:cs="宋体"/>
                <w:kern w:val="0"/>
                <w:sz w:val="18"/>
                <w:szCs w:val="18"/>
              </w:rPr>
            </w:pPr>
            <w:r>
              <w:rPr>
                <w:rFonts w:hint="eastAsia" w:ascii="宋体" w:hAnsi="宋体" w:cs="宋体"/>
                <w:kern w:val="0"/>
                <w:sz w:val="18"/>
                <w:szCs w:val="18"/>
              </w:rPr>
              <w:t>完成率（%）</w:t>
            </w:r>
          </w:p>
        </w:tc>
        <w:tc>
          <w:tcPr>
            <w:tcW w:w="700" w:type="dxa"/>
            <w:tcBorders>
              <w:top w:val="nil"/>
              <w:left w:val="nil"/>
              <w:bottom w:val="single" w:color="auto" w:sz="4" w:space="0"/>
              <w:right w:val="single" w:color="auto" w:sz="4" w:space="0"/>
            </w:tcBorders>
            <w:shd w:val="clear" w:color="auto" w:fill="auto"/>
            <w:vAlign w:val="center"/>
          </w:tcPr>
          <w:p w14:paraId="2D9609B5">
            <w:pPr>
              <w:widowControl/>
              <w:jc w:val="left"/>
              <w:rPr>
                <w:rFonts w:ascii="宋体" w:hAnsi="宋体" w:cs="宋体"/>
                <w:kern w:val="0"/>
                <w:sz w:val="18"/>
                <w:szCs w:val="18"/>
              </w:rPr>
            </w:pPr>
            <w:r>
              <w:rPr>
                <w:rFonts w:hint="eastAsia" w:ascii="宋体" w:hAnsi="宋体" w:cs="宋体"/>
                <w:kern w:val="0"/>
                <w:sz w:val="18"/>
                <w:szCs w:val="18"/>
              </w:rPr>
              <w:t>未完成原因和改进措施</w:t>
            </w:r>
          </w:p>
        </w:tc>
      </w:tr>
      <w:tr w14:paraId="14339BFF">
        <w:tblPrEx>
          <w:tblCellMar>
            <w:top w:w="0" w:type="dxa"/>
            <w:left w:w="108" w:type="dxa"/>
            <w:bottom w:w="0" w:type="dxa"/>
            <w:right w:w="108" w:type="dxa"/>
          </w:tblCellMar>
        </w:tblPrEx>
        <w:trPr>
          <w:trHeight w:val="679" w:hRule="atLeast"/>
        </w:trPr>
        <w:tc>
          <w:tcPr>
            <w:tcW w:w="740" w:type="dxa"/>
            <w:vMerge w:val="continue"/>
            <w:tcBorders>
              <w:top w:val="nil"/>
              <w:left w:val="single" w:color="auto" w:sz="4" w:space="0"/>
              <w:bottom w:val="single" w:color="auto" w:sz="4" w:space="0"/>
              <w:right w:val="single" w:color="auto" w:sz="4" w:space="0"/>
            </w:tcBorders>
            <w:vAlign w:val="center"/>
          </w:tcPr>
          <w:p w14:paraId="6ED51FBD">
            <w:pPr>
              <w:widowControl/>
              <w:jc w:val="left"/>
              <w:rPr>
                <w:rFonts w:ascii="宋体" w:hAnsi="宋体" w:cs="宋体"/>
                <w:kern w:val="0"/>
                <w:sz w:val="18"/>
                <w:szCs w:val="18"/>
              </w:rPr>
            </w:pP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187CEFA7">
            <w:pPr>
              <w:widowControl/>
              <w:jc w:val="center"/>
              <w:rPr>
                <w:rFonts w:ascii="宋体" w:hAnsi="宋体" w:cs="宋体"/>
                <w:kern w:val="0"/>
                <w:sz w:val="18"/>
                <w:szCs w:val="18"/>
              </w:rPr>
            </w:pPr>
            <w:r>
              <w:rPr>
                <w:rFonts w:hint="eastAsia" w:ascii="宋体" w:hAnsi="宋体" w:cs="宋体"/>
                <w:kern w:val="0"/>
                <w:sz w:val="18"/>
                <w:szCs w:val="18"/>
              </w:rPr>
              <w:t>项目完成</w:t>
            </w:r>
          </w:p>
        </w:tc>
        <w:tc>
          <w:tcPr>
            <w:tcW w:w="1120" w:type="dxa"/>
            <w:tcBorders>
              <w:top w:val="nil"/>
              <w:left w:val="nil"/>
              <w:bottom w:val="single" w:color="auto" w:sz="4" w:space="0"/>
              <w:right w:val="single" w:color="auto" w:sz="4" w:space="0"/>
            </w:tcBorders>
            <w:shd w:val="clear" w:color="auto" w:fill="auto"/>
            <w:vAlign w:val="center"/>
          </w:tcPr>
          <w:p w14:paraId="326D1FC9">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020" w:type="dxa"/>
            <w:tcBorders>
              <w:top w:val="nil"/>
              <w:left w:val="nil"/>
              <w:bottom w:val="single" w:color="auto" w:sz="4" w:space="0"/>
              <w:right w:val="single" w:color="auto" w:sz="4" w:space="0"/>
            </w:tcBorders>
            <w:shd w:val="clear" w:color="auto" w:fill="auto"/>
            <w:vAlign w:val="center"/>
          </w:tcPr>
          <w:p w14:paraId="05A4C933">
            <w:pPr>
              <w:widowControl/>
              <w:jc w:val="left"/>
              <w:rPr>
                <w:rFonts w:ascii="宋体" w:hAnsi="宋体" w:cs="宋体"/>
                <w:kern w:val="0"/>
                <w:sz w:val="18"/>
                <w:szCs w:val="18"/>
              </w:rPr>
            </w:pPr>
            <w:r>
              <w:rPr>
                <w:rFonts w:hint="eastAsia" w:ascii="宋体" w:hAnsi="宋体" w:cs="宋体"/>
                <w:kern w:val="0"/>
                <w:sz w:val="18"/>
                <w:szCs w:val="18"/>
              </w:rPr>
              <w:t>2019年评选“钒钛之光”创业领军人才10名左右</w:t>
            </w:r>
          </w:p>
        </w:tc>
        <w:tc>
          <w:tcPr>
            <w:tcW w:w="1420" w:type="dxa"/>
            <w:tcBorders>
              <w:top w:val="nil"/>
              <w:left w:val="nil"/>
              <w:bottom w:val="single" w:color="auto" w:sz="4" w:space="0"/>
              <w:right w:val="single" w:color="auto" w:sz="4" w:space="0"/>
            </w:tcBorders>
            <w:shd w:val="clear" w:color="auto" w:fill="auto"/>
            <w:vAlign w:val="center"/>
          </w:tcPr>
          <w:p w14:paraId="6E6951B0">
            <w:pPr>
              <w:widowControl/>
              <w:jc w:val="center"/>
              <w:rPr>
                <w:rFonts w:ascii="宋体" w:hAnsi="宋体" w:cs="宋体"/>
                <w:kern w:val="0"/>
                <w:sz w:val="18"/>
                <w:szCs w:val="18"/>
              </w:rPr>
            </w:pPr>
            <w:r>
              <w:rPr>
                <w:rFonts w:hint="eastAsia" w:ascii="宋体" w:hAnsi="宋体" w:cs="宋体"/>
                <w:kern w:val="0"/>
                <w:sz w:val="18"/>
                <w:szCs w:val="18"/>
              </w:rPr>
              <w:t>10名左右</w:t>
            </w:r>
          </w:p>
        </w:tc>
        <w:tc>
          <w:tcPr>
            <w:tcW w:w="1120" w:type="dxa"/>
            <w:tcBorders>
              <w:top w:val="nil"/>
              <w:left w:val="nil"/>
              <w:bottom w:val="single" w:color="auto" w:sz="4" w:space="0"/>
              <w:right w:val="single" w:color="auto" w:sz="4" w:space="0"/>
            </w:tcBorders>
            <w:shd w:val="clear" w:color="auto" w:fill="auto"/>
            <w:vAlign w:val="center"/>
          </w:tcPr>
          <w:p w14:paraId="385B438B">
            <w:pPr>
              <w:widowControl/>
              <w:jc w:val="center"/>
              <w:rPr>
                <w:rFonts w:ascii="宋体" w:hAnsi="宋体" w:cs="宋体"/>
                <w:kern w:val="0"/>
                <w:sz w:val="18"/>
                <w:szCs w:val="18"/>
              </w:rPr>
            </w:pPr>
            <w:r>
              <w:rPr>
                <w:rFonts w:hint="eastAsia" w:ascii="宋体" w:hAnsi="宋体" w:cs="宋体"/>
                <w:kern w:val="0"/>
                <w:sz w:val="18"/>
                <w:szCs w:val="18"/>
              </w:rPr>
              <w:t>11名</w:t>
            </w:r>
          </w:p>
        </w:tc>
        <w:tc>
          <w:tcPr>
            <w:tcW w:w="780" w:type="dxa"/>
            <w:tcBorders>
              <w:top w:val="nil"/>
              <w:left w:val="nil"/>
              <w:bottom w:val="single" w:color="auto" w:sz="4" w:space="0"/>
              <w:right w:val="single" w:color="auto" w:sz="4" w:space="0"/>
            </w:tcBorders>
            <w:shd w:val="clear" w:color="auto" w:fill="auto"/>
            <w:vAlign w:val="center"/>
          </w:tcPr>
          <w:p w14:paraId="7C72ABC4">
            <w:pPr>
              <w:widowControl/>
              <w:jc w:val="center"/>
              <w:rPr>
                <w:rFonts w:ascii="宋体" w:hAnsi="宋体" w:cs="宋体"/>
                <w:kern w:val="0"/>
                <w:sz w:val="18"/>
                <w:szCs w:val="18"/>
              </w:rPr>
            </w:pPr>
            <w:r>
              <w:rPr>
                <w:rFonts w:hint="eastAsia" w:ascii="宋体" w:hAnsi="宋体" w:cs="宋体"/>
                <w:kern w:val="0"/>
                <w:sz w:val="18"/>
                <w:szCs w:val="18"/>
              </w:rPr>
              <w:t>100%</w:t>
            </w:r>
          </w:p>
        </w:tc>
        <w:tc>
          <w:tcPr>
            <w:tcW w:w="700" w:type="dxa"/>
            <w:tcBorders>
              <w:top w:val="nil"/>
              <w:left w:val="nil"/>
              <w:bottom w:val="single" w:color="auto" w:sz="4" w:space="0"/>
              <w:right w:val="single" w:color="auto" w:sz="4" w:space="0"/>
            </w:tcBorders>
            <w:shd w:val="clear" w:color="auto" w:fill="auto"/>
            <w:vAlign w:val="center"/>
          </w:tcPr>
          <w:p w14:paraId="2BFED937">
            <w:pPr>
              <w:widowControl/>
              <w:jc w:val="left"/>
              <w:rPr>
                <w:rFonts w:ascii="宋体" w:hAnsi="宋体" w:cs="宋体"/>
                <w:kern w:val="0"/>
                <w:sz w:val="18"/>
                <w:szCs w:val="18"/>
              </w:rPr>
            </w:pPr>
            <w:r>
              <w:rPr>
                <w:rFonts w:hint="eastAsia" w:ascii="宋体" w:hAnsi="宋体" w:cs="宋体"/>
                <w:kern w:val="0"/>
                <w:sz w:val="18"/>
                <w:szCs w:val="18"/>
              </w:rPr>
              <w:t>　</w:t>
            </w:r>
          </w:p>
        </w:tc>
      </w:tr>
      <w:tr w14:paraId="7CB2FD0E">
        <w:tblPrEx>
          <w:tblCellMar>
            <w:top w:w="0" w:type="dxa"/>
            <w:left w:w="108" w:type="dxa"/>
            <w:bottom w:w="0" w:type="dxa"/>
            <w:right w:w="108" w:type="dxa"/>
          </w:tblCellMar>
        </w:tblPrEx>
        <w:trPr>
          <w:trHeight w:val="1200" w:hRule="atLeast"/>
        </w:trPr>
        <w:tc>
          <w:tcPr>
            <w:tcW w:w="740" w:type="dxa"/>
            <w:vMerge w:val="continue"/>
            <w:tcBorders>
              <w:top w:val="nil"/>
              <w:left w:val="single" w:color="auto" w:sz="4" w:space="0"/>
              <w:bottom w:val="single" w:color="auto" w:sz="4" w:space="0"/>
              <w:right w:val="single" w:color="auto" w:sz="4" w:space="0"/>
            </w:tcBorders>
            <w:vAlign w:val="center"/>
          </w:tcPr>
          <w:p w14:paraId="023E2857">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14BCEC97">
            <w:pPr>
              <w:widowControl/>
              <w:jc w:val="left"/>
              <w:rPr>
                <w:rFonts w:ascii="宋体" w:hAnsi="宋体" w:cs="宋体"/>
                <w:kern w:val="0"/>
                <w:sz w:val="18"/>
                <w:szCs w:val="18"/>
              </w:rPr>
            </w:pPr>
          </w:p>
        </w:tc>
        <w:tc>
          <w:tcPr>
            <w:tcW w:w="1120" w:type="dxa"/>
            <w:tcBorders>
              <w:top w:val="nil"/>
              <w:left w:val="nil"/>
              <w:bottom w:val="single" w:color="auto" w:sz="4" w:space="0"/>
              <w:right w:val="single" w:color="auto" w:sz="4" w:space="0"/>
            </w:tcBorders>
            <w:shd w:val="clear" w:color="auto" w:fill="auto"/>
            <w:vAlign w:val="center"/>
          </w:tcPr>
          <w:p w14:paraId="75732AA4">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020" w:type="dxa"/>
            <w:tcBorders>
              <w:top w:val="nil"/>
              <w:left w:val="nil"/>
              <w:bottom w:val="single" w:color="auto" w:sz="4" w:space="0"/>
              <w:right w:val="single" w:color="auto" w:sz="4" w:space="0"/>
            </w:tcBorders>
            <w:shd w:val="clear" w:color="auto" w:fill="auto"/>
            <w:vAlign w:val="center"/>
          </w:tcPr>
          <w:p w14:paraId="4DEF6B91">
            <w:pPr>
              <w:widowControl/>
              <w:jc w:val="left"/>
              <w:rPr>
                <w:rFonts w:ascii="宋体" w:hAnsi="宋体" w:cs="宋体"/>
                <w:kern w:val="0"/>
                <w:sz w:val="18"/>
                <w:szCs w:val="18"/>
              </w:rPr>
            </w:pPr>
            <w:r>
              <w:rPr>
                <w:rFonts w:hint="eastAsia" w:ascii="宋体" w:hAnsi="宋体" w:cs="宋体"/>
                <w:kern w:val="0"/>
                <w:sz w:val="18"/>
                <w:szCs w:val="18"/>
              </w:rPr>
              <w:t>11名攀枝花“钒钛之光”创业领军人才培养经费33万元拨付至用人单位专款专用。</w:t>
            </w:r>
          </w:p>
        </w:tc>
        <w:tc>
          <w:tcPr>
            <w:tcW w:w="1420" w:type="dxa"/>
            <w:tcBorders>
              <w:top w:val="nil"/>
              <w:left w:val="nil"/>
              <w:bottom w:val="single" w:color="auto" w:sz="4" w:space="0"/>
              <w:right w:val="single" w:color="auto" w:sz="4" w:space="0"/>
            </w:tcBorders>
            <w:shd w:val="clear" w:color="auto" w:fill="auto"/>
            <w:vAlign w:val="center"/>
          </w:tcPr>
          <w:p w14:paraId="479F857B">
            <w:pPr>
              <w:widowControl/>
              <w:jc w:val="center"/>
              <w:rPr>
                <w:rFonts w:ascii="宋体" w:hAnsi="宋体" w:cs="宋体"/>
                <w:kern w:val="0"/>
                <w:sz w:val="18"/>
                <w:szCs w:val="18"/>
              </w:rPr>
            </w:pPr>
            <w:r>
              <w:rPr>
                <w:rFonts w:hint="eastAsia" w:ascii="宋体" w:hAnsi="宋体" w:cs="宋体"/>
                <w:kern w:val="0"/>
                <w:sz w:val="18"/>
                <w:szCs w:val="18"/>
              </w:rPr>
              <w:t>全部拨付至用人单位</w:t>
            </w:r>
          </w:p>
        </w:tc>
        <w:tc>
          <w:tcPr>
            <w:tcW w:w="1120" w:type="dxa"/>
            <w:tcBorders>
              <w:top w:val="nil"/>
              <w:left w:val="nil"/>
              <w:bottom w:val="single" w:color="auto" w:sz="4" w:space="0"/>
              <w:right w:val="single" w:color="auto" w:sz="4" w:space="0"/>
            </w:tcBorders>
            <w:shd w:val="clear" w:color="auto" w:fill="auto"/>
            <w:vAlign w:val="center"/>
          </w:tcPr>
          <w:p w14:paraId="28964D16">
            <w:pPr>
              <w:widowControl/>
              <w:jc w:val="center"/>
              <w:rPr>
                <w:rFonts w:ascii="宋体" w:hAnsi="宋体" w:cs="宋体"/>
                <w:kern w:val="0"/>
                <w:sz w:val="18"/>
                <w:szCs w:val="18"/>
              </w:rPr>
            </w:pPr>
            <w:r>
              <w:rPr>
                <w:rFonts w:hint="eastAsia" w:ascii="宋体" w:hAnsi="宋体" w:cs="宋体"/>
                <w:kern w:val="0"/>
                <w:sz w:val="18"/>
                <w:szCs w:val="18"/>
              </w:rPr>
              <w:t>2021年7月全部拨付至用人单位。</w:t>
            </w:r>
          </w:p>
        </w:tc>
        <w:tc>
          <w:tcPr>
            <w:tcW w:w="780" w:type="dxa"/>
            <w:tcBorders>
              <w:top w:val="nil"/>
              <w:left w:val="nil"/>
              <w:bottom w:val="single" w:color="auto" w:sz="4" w:space="0"/>
              <w:right w:val="single" w:color="auto" w:sz="4" w:space="0"/>
            </w:tcBorders>
            <w:shd w:val="clear" w:color="auto" w:fill="auto"/>
            <w:vAlign w:val="center"/>
          </w:tcPr>
          <w:p w14:paraId="423D42AD">
            <w:pPr>
              <w:widowControl/>
              <w:jc w:val="center"/>
              <w:rPr>
                <w:rFonts w:ascii="宋体" w:hAnsi="宋体" w:cs="宋体"/>
                <w:kern w:val="0"/>
                <w:sz w:val="18"/>
                <w:szCs w:val="18"/>
              </w:rPr>
            </w:pPr>
            <w:r>
              <w:rPr>
                <w:rFonts w:hint="eastAsia" w:ascii="宋体" w:hAnsi="宋体" w:cs="宋体"/>
                <w:kern w:val="0"/>
                <w:sz w:val="18"/>
                <w:szCs w:val="18"/>
              </w:rPr>
              <w:t>100%</w:t>
            </w:r>
          </w:p>
        </w:tc>
        <w:tc>
          <w:tcPr>
            <w:tcW w:w="700" w:type="dxa"/>
            <w:tcBorders>
              <w:top w:val="nil"/>
              <w:left w:val="nil"/>
              <w:bottom w:val="single" w:color="auto" w:sz="4" w:space="0"/>
              <w:right w:val="single" w:color="auto" w:sz="4" w:space="0"/>
            </w:tcBorders>
            <w:shd w:val="clear" w:color="auto" w:fill="auto"/>
            <w:vAlign w:val="center"/>
          </w:tcPr>
          <w:p w14:paraId="340C4884">
            <w:pPr>
              <w:widowControl/>
              <w:jc w:val="left"/>
              <w:rPr>
                <w:rFonts w:ascii="宋体" w:hAnsi="宋体" w:cs="宋体"/>
                <w:kern w:val="0"/>
                <w:sz w:val="18"/>
                <w:szCs w:val="18"/>
              </w:rPr>
            </w:pPr>
            <w:r>
              <w:rPr>
                <w:rFonts w:hint="eastAsia" w:ascii="宋体" w:hAnsi="宋体" w:cs="宋体"/>
                <w:kern w:val="0"/>
                <w:sz w:val="18"/>
                <w:szCs w:val="18"/>
              </w:rPr>
              <w:t>　</w:t>
            </w:r>
          </w:p>
        </w:tc>
      </w:tr>
      <w:tr w14:paraId="29BDC508">
        <w:tblPrEx>
          <w:tblCellMar>
            <w:top w:w="0" w:type="dxa"/>
            <w:left w:w="108" w:type="dxa"/>
            <w:bottom w:w="0" w:type="dxa"/>
            <w:right w:w="108" w:type="dxa"/>
          </w:tblCellMar>
        </w:tblPrEx>
        <w:trPr>
          <w:trHeight w:val="780" w:hRule="atLeast"/>
        </w:trPr>
        <w:tc>
          <w:tcPr>
            <w:tcW w:w="740" w:type="dxa"/>
            <w:vMerge w:val="continue"/>
            <w:tcBorders>
              <w:top w:val="nil"/>
              <w:left w:val="single" w:color="auto" w:sz="4" w:space="0"/>
              <w:bottom w:val="single" w:color="auto" w:sz="4" w:space="0"/>
              <w:right w:val="single" w:color="auto" w:sz="4" w:space="0"/>
            </w:tcBorders>
            <w:vAlign w:val="center"/>
          </w:tcPr>
          <w:p w14:paraId="6EC14B0C">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36D0A202">
            <w:pPr>
              <w:widowControl/>
              <w:jc w:val="left"/>
              <w:rPr>
                <w:rFonts w:ascii="宋体" w:hAnsi="宋体" w:cs="宋体"/>
                <w:kern w:val="0"/>
                <w:sz w:val="18"/>
                <w:szCs w:val="18"/>
              </w:rPr>
            </w:pPr>
          </w:p>
        </w:tc>
        <w:tc>
          <w:tcPr>
            <w:tcW w:w="1120" w:type="dxa"/>
            <w:tcBorders>
              <w:top w:val="nil"/>
              <w:left w:val="nil"/>
              <w:bottom w:val="single" w:color="auto" w:sz="4" w:space="0"/>
              <w:right w:val="single" w:color="auto" w:sz="4" w:space="0"/>
            </w:tcBorders>
            <w:shd w:val="clear" w:color="auto" w:fill="auto"/>
            <w:vAlign w:val="center"/>
          </w:tcPr>
          <w:p w14:paraId="241D4DB9">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020" w:type="dxa"/>
            <w:tcBorders>
              <w:top w:val="nil"/>
              <w:left w:val="nil"/>
              <w:bottom w:val="single" w:color="auto" w:sz="4" w:space="0"/>
              <w:right w:val="single" w:color="auto" w:sz="4" w:space="0"/>
            </w:tcBorders>
            <w:shd w:val="clear" w:color="auto" w:fill="auto"/>
            <w:vAlign w:val="center"/>
          </w:tcPr>
          <w:p w14:paraId="6139B3E0">
            <w:pPr>
              <w:widowControl/>
              <w:jc w:val="left"/>
              <w:rPr>
                <w:rFonts w:ascii="宋体" w:hAnsi="宋体" w:cs="宋体"/>
                <w:kern w:val="0"/>
                <w:sz w:val="18"/>
                <w:szCs w:val="18"/>
              </w:rPr>
            </w:pPr>
            <w:r>
              <w:rPr>
                <w:rFonts w:hint="eastAsia" w:ascii="宋体" w:hAnsi="宋体" w:cs="宋体"/>
                <w:kern w:val="0"/>
                <w:sz w:val="18"/>
                <w:szCs w:val="18"/>
              </w:rPr>
              <w:t>从2019年开始分三年进行评选“钒钛之光”创业领军人才</w:t>
            </w:r>
          </w:p>
        </w:tc>
        <w:tc>
          <w:tcPr>
            <w:tcW w:w="1420" w:type="dxa"/>
            <w:tcBorders>
              <w:top w:val="nil"/>
              <w:left w:val="nil"/>
              <w:bottom w:val="single" w:color="auto" w:sz="4" w:space="0"/>
              <w:right w:val="single" w:color="auto" w:sz="4" w:space="0"/>
            </w:tcBorders>
            <w:shd w:val="clear" w:color="auto" w:fill="auto"/>
            <w:vAlign w:val="center"/>
          </w:tcPr>
          <w:p w14:paraId="3B8CEBC0">
            <w:pPr>
              <w:widowControl/>
              <w:jc w:val="center"/>
              <w:rPr>
                <w:rFonts w:ascii="宋体" w:hAnsi="宋体" w:cs="宋体"/>
                <w:kern w:val="0"/>
                <w:sz w:val="18"/>
                <w:szCs w:val="18"/>
              </w:rPr>
            </w:pPr>
            <w:r>
              <w:rPr>
                <w:rFonts w:hint="eastAsia" w:ascii="宋体" w:hAnsi="宋体" w:cs="宋体"/>
                <w:kern w:val="0"/>
                <w:sz w:val="18"/>
                <w:szCs w:val="18"/>
              </w:rPr>
              <w:t>2019年11名</w:t>
            </w:r>
          </w:p>
        </w:tc>
        <w:tc>
          <w:tcPr>
            <w:tcW w:w="1120" w:type="dxa"/>
            <w:tcBorders>
              <w:top w:val="nil"/>
              <w:left w:val="nil"/>
              <w:bottom w:val="single" w:color="auto" w:sz="4" w:space="0"/>
              <w:right w:val="single" w:color="auto" w:sz="4" w:space="0"/>
            </w:tcBorders>
            <w:shd w:val="clear" w:color="auto" w:fill="auto"/>
            <w:vAlign w:val="center"/>
          </w:tcPr>
          <w:p w14:paraId="610C7053">
            <w:pPr>
              <w:widowControl/>
              <w:jc w:val="center"/>
              <w:rPr>
                <w:rFonts w:ascii="宋体" w:hAnsi="宋体" w:cs="宋体"/>
                <w:kern w:val="0"/>
                <w:sz w:val="18"/>
                <w:szCs w:val="18"/>
              </w:rPr>
            </w:pPr>
            <w:r>
              <w:rPr>
                <w:rFonts w:hint="eastAsia" w:ascii="宋体" w:hAnsi="宋体" w:cs="宋体"/>
                <w:kern w:val="0"/>
                <w:sz w:val="18"/>
                <w:szCs w:val="18"/>
              </w:rPr>
              <w:t>11名</w:t>
            </w:r>
          </w:p>
        </w:tc>
        <w:tc>
          <w:tcPr>
            <w:tcW w:w="780" w:type="dxa"/>
            <w:tcBorders>
              <w:top w:val="nil"/>
              <w:left w:val="nil"/>
              <w:bottom w:val="single" w:color="auto" w:sz="4" w:space="0"/>
              <w:right w:val="single" w:color="auto" w:sz="4" w:space="0"/>
            </w:tcBorders>
            <w:shd w:val="clear" w:color="auto" w:fill="auto"/>
            <w:vAlign w:val="center"/>
          </w:tcPr>
          <w:p w14:paraId="24C27A9B">
            <w:pPr>
              <w:widowControl/>
              <w:jc w:val="center"/>
              <w:rPr>
                <w:rFonts w:ascii="宋体" w:hAnsi="宋体" w:cs="宋体"/>
                <w:kern w:val="0"/>
                <w:sz w:val="18"/>
                <w:szCs w:val="18"/>
              </w:rPr>
            </w:pPr>
            <w:r>
              <w:rPr>
                <w:rFonts w:hint="eastAsia" w:ascii="宋体" w:hAnsi="宋体" w:cs="宋体"/>
                <w:kern w:val="0"/>
                <w:sz w:val="18"/>
                <w:szCs w:val="18"/>
              </w:rPr>
              <w:t>100%</w:t>
            </w:r>
          </w:p>
        </w:tc>
        <w:tc>
          <w:tcPr>
            <w:tcW w:w="700" w:type="dxa"/>
            <w:tcBorders>
              <w:top w:val="nil"/>
              <w:left w:val="nil"/>
              <w:bottom w:val="single" w:color="auto" w:sz="4" w:space="0"/>
              <w:right w:val="single" w:color="auto" w:sz="4" w:space="0"/>
            </w:tcBorders>
            <w:shd w:val="clear" w:color="auto" w:fill="auto"/>
            <w:vAlign w:val="center"/>
          </w:tcPr>
          <w:p w14:paraId="6C4EDA06">
            <w:pPr>
              <w:widowControl/>
              <w:jc w:val="left"/>
              <w:rPr>
                <w:rFonts w:ascii="宋体" w:hAnsi="宋体" w:cs="宋体"/>
                <w:kern w:val="0"/>
                <w:sz w:val="18"/>
                <w:szCs w:val="18"/>
              </w:rPr>
            </w:pPr>
            <w:r>
              <w:rPr>
                <w:rFonts w:hint="eastAsia" w:ascii="宋体" w:hAnsi="宋体" w:cs="宋体"/>
                <w:kern w:val="0"/>
                <w:sz w:val="18"/>
                <w:szCs w:val="18"/>
              </w:rPr>
              <w:t>　</w:t>
            </w:r>
          </w:p>
        </w:tc>
      </w:tr>
      <w:tr w14:paraId="3A227562">
        <w:tblPrEx>
          <w:tblCellMar>
            <w:top w:w="0" w:type="dxa"/>
            <w:left w:w="108" w:type="dxa"/>
            <w:bottom w:w="0" w:type="dxa"/>
            <w:right w:w="108" w:type="dxa"/>
          </w:tblCellMar>
        </w:tblPrEx>
        <w:trPr>
          <w:trHeight w:val="525" w:hRule="atLeast"/>
        </w:trPr>
        <w:tc>
          <w:tcPr>
            <w:tcW w:w="740" w:type="dxa"/>
            <w:vMerge w:val="continue"/>
            <w:tcBorders>
              <w:top w:val="nil"/>
              <w:left w:val="single" w:color="auto" w:sz="4" w:space="0"/>
              <w:bottom w:val="single" w:color="auto" w:sz="4" w:space="0"/>
              <w:right w:val="single" w:color="auto" w:sz="4" w:space="0"/>
            </w:tcBorders>
            <w:vAlign w:val="center"/>
          </w:tcPr>
          <w:p w14:paraId="5B583225">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443DAE36">
            <w:pPr>
              <w:widowControl/>
              <w:jc w:val="left"/>
              <w:rPr>
                <w:rFonts w:ascii="宋体" w:hAnsi="宋体" w:cs="宋体"/>
                <w:kern w:val="0"/>
                <w:sz w:val="18"/>
                <w:szCs w:val="18"/>
              </w:rPr>
            </w:pPr>
          </w:p>
        </w:tc>
        <w:tc>
          <w:tcPr>
            <w:tcW w:w="1120" w:type="dxa"/>
            <w:tcBorders>
              <w:top w:val="nil"/>
              <w:left w:val="nil"/>
              <w:bottom w:val="single" w:color="auto" w:sz="4" w:space="0"/>
              <w:right w:val="single" w:color="auto" w:sz="4" w:space="0"/>
            </w:tcBorders>
            <w:shd w:val="clear" w:color="auto" w:fill="auto"/>
            <w:vAlign w:val="center"/>
          </w:tcPr>
          <w:p w14:paraId="28585C92">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020" w:type="dxa"/>
            <w:tcBorders>
              <w:top w:val="nil"/>
              <w:left w:val="nil"/>
              <w:bottom w:val="single" w:color="auto" w:sz="4" w:space="0"/>
              <w:right w:val="single" w:color="auto" w:sz="4" w:space="0"/>
            </w:tcBorders>
            <w:shd w:val="clear" w:color="auto" w:fill="auto"/>
            <w:vAlign w:val="center"/>
          </w:tcPr>
          <w:p w14:paraId="0603E936">
            <w:pPr>
              <w:widowControl/>
              <w:jc w:val="left"/>
              <w:rPr>
                <w:rFonts w:ascii="宋体" w:hAnsi="宋体" w:cs="宋体"/>
                <w:kern w:val="0"/>
                <w:sz w:val="18"/>
                <w:szCs w:val="18"/>
              </w:rPr>
            </w:pPr>
            <w:r>
              <w:rPr>
                <w:rFonts w:hint="eastAsia" w:ascii="宋体" w:hAnsi="宋体" w:cs="宋体"/>
                <w:kern w:val="0"/>
                <w:sz w:val="18"/>
                <w:szCs w:val="18"/>
              </w:rPr>
              <w:t>人才培训经费</w:t>
            </w:r>
          </w:p>
        </w:tc>
        <w:tc>
          <w:tcPr>
            <w:tcW w:w="1420" w:type="dxa"/>
            <w:tcBorders>
              <w:top w:val="nil"/>
              <w:left w:val="nil"/>
              <w:bottom w:val="single" w:color="auto" w:sz="4" w:space="0"/>
              <w:right w:val="single" w:color="auto" w:sz="4" w:space="0"/>
            </w:tcBorders>
            <w:shd w:val="clear" w:color="auto" w:fill="auto"/>
            <w:vAlign w:val="center"/>
          </w:tcPr>
          <w:p w14:paraId="0CD573B0">
            <w:pPr>
              <w:widowControl/>
              <w:jc w:val="center"/>
              <w:rPr>
                <w:rFonts w:ascii="宋体" w:hAnsi="宋体" w:cs="宋体"/>
                <w:kern w:val="0"/>
                <w:sz w:val="18"/>
                <w:szCs w:val="18"/>
              </w:rPr>
            </w:pPr>
            <w:r>
              <w:rPr>
                <w:rFonts w:hint="eastAsia" w:ascii="宋体" w:hAnsi="宋体" w:cs="宋体"/>
                <w:kern w:val="0"/>
                <w:sz w:val="18"/>
                <w:szCs w:val="18"/>
              </w:rPr>
              <w:t>33万</w:t>
            </w:r>
          </w:p>
        </w:tc>
        <w:tc>
          <w:tcPr>
            <w:tcW w:w="1120" w:type="dxa"/>
            <w:tcBorders>
              <w:top w:val="nil"/>
              <w:left w:val="nil"/>
              <w:bottom w:val="single" w:color="auto" w:sz="4" w:space="0"/>
              <w:right w:val="single" w:color="auto" w:sz="4" w:space="0"/>
            </w:tcBorders>
            <w:shd w:val="clear" w:color="auto" w:fill="auto"/>
            <w:vAlign w:val="center"/>
          </w:tcPr>
          <w:p w14:paraId="07E60A8F">
            <w:pPr>
              <w:widowControl/>
              <w:jc w:val="center"/>
              <w:rPr>
                <w:rFonts w:ascii="宋体" w:hAnsi="宋体" w:cs="宋体"/>
                <w:kern w:val="0"/>
                <w:sz w:val="18"/>
                <w:szCs w:val="18"/>
              </w:rPr>
            </w:pPr>
            <w:r>
              <w:rPr>
                <w:rFonts w:hint="eastAsia" w:ascii="宋体" w:hAnsi="宋体" w:cs="宋体"/>
                <w:kern w:val="0"/>
                <w:sz w:val="18"/>
                <w:szCs w:val="18"/>
              </w:rPr>
              <w:t>33万</w:t>
            </w:r>
          </w:p>
        </w:tc>
        <w:tc>
          <w:tcPr>
            <w:tcW w:w="780" w:type="dxa"/>
            <w:tcBorders>
              <w:top w:val="nil"/>
              <w:left w:val="nil"/>
              <w:bottom w:val="single" w:color="auto" w:sz="4" w:space="0"/>
              <w:right w:val="single" w:color="auto" w:sz="4" w:space="0"/>
            </w:tcBorders>
            <w:shd w:val="clear" w:color="auto" w:fill="auto"/>
            <w:vAlign w:val="center"/>
          </w:tcPr>
          <w:p w14:paraId="4862DCA1">
            <w:pPr>
              <w:widowControl/>
              <w:jc w:val="left"/>
              <w:rPr>
                <w:rFonts w:ascii="宋体" w:hAnsi="宋体" w:cs="宋体"/>
                <w:kern w:val="0"/>
                <w:sz w:val="18"/>
                <w:szCs w:val="18"/>
              </w:rPr>
            </w:pPr>
            <w:r>
              <w:rPr>
                <w:rFonts w:hint="eastAsia" w:ascii="宋体" w:hAnsi="宋体" w:cs="宋体"/>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14:paraId="4C105DEB">
            <w:pPr>
              <w:widowControl/>
              <w:jc w:val="left"/>
              <w:rPr>
                <w:rFonts w:ascii="宋体" w:hAnsi="宋体" w:cs="宋体"/>
                <w:kern w:val="0"/>
                <w:sz w:val="18"/>
                <w:szCs w:val="18"/>
              </w:rPr>
            </w:pPr>
            <w:r>
              <w:rPr>
                <w:rFonts w:hint="eastAsia" w:ascii="宋体" w:hAnsi="宋体" w:cs="宋体"/>
                <w:kern w:val="0"/>
                <w:sz w:val="18"/>
                <w:szCs w:val="18"/>
              </w:rPr>
              <w:t>　</w:t>
            </w:r>
          </w:p>
        </w:tc>
      </w:tr>
      <w:tr w14:paraId="7CF687AA">
        <w:tblPrEx>
          <w:tblCellMar>
            <w:top w:w="0" w:type="dxa"/>
            <w:left w:w="108" w:type="dxa"/>
            <w:bottom w:w="0" w:type="dxa"/>
            <w:right w:w="108" w:type="dxa"/>
          </w:tblCellMar>
        </w:tblPrEx>
        <w:trPr>
          <w:trHeight w:val="510" w:hRule="atLeast"/>
        </w:trPr>
        <w:tc>
          <w:tcPr>
            <w:tcW w:w="740" w:type="dxa"/>
            <w:vMerge w:val="continue"/>
            <w:tcBorders>
              <w:top w:val="nil"/>
              <w:left w:val="single" w:color="auto" w:sz="4" w:space="0"/>
              <w:bottom w:val="single" w:color="auto" w:sz="4" w:space="0"/>
              <w:right w:val="single" w:color="auto" w:sz="4" w:space="0"/>
            </w:tcBorders>
            <w:vAlign w:val="center"/>
          </w:tcPr>
          <w:p w14:paraId="2FCE018D">
            <w:pPr>
              <w:widowControl/>
              <w:jc w:val="left"/>
              <w:rPr>
                <w:rFonts w:ascii="宋体" w:hAnsi="宋体" w:cs="宋体"/>
                <w:kern w:val="0"/>
                <w:sz w:val="18"/>
                <w:szCs w:val="18"/>
              </w:rPr>
            </w:pP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5DCF3698">
            <w:pPr>
              <w:widowControl/>
              <w:jc w:val="center"/>
              <w:rPr>
                <w:rFonts w:ascii="宋体" w:hAnsi="宋体" w:cs="宋体"/>
                <w:kern w:val="0"/>
                <w:sz w:val="18"/>
                <w:szCs w:val="18"/>
              </w:rPr>
            </w:pPr>
            <w:r>
              <w:rPr>
                <w:rFonts w:hint="eastAsia" w:ascii="宋体" w:hAnsi="宋体" w:cs="宋体"/>
                <w:kern w:val="0"/>
                <w:sz w:val="18"/>
                <w:szCs w:val="18"/>
              </w:rPr>
              <w:t>项目效益</w:t>
            </w:r>
          </w:p>
        </w:tc>
        <w:tc>
          <w:tcPr>
            <w:tcW w:w="1120" w:type="dxa"/>
            <w:vMerge w:val="restart"/>
            <w:tcBorders>
              <w:top w:val="nil"/>
              <w:left w:val="single" w:color="auto" w:sz="4" w:space="0"/>
              <w:bottom w:val="single" w:color="auto" w:sz="4" w:space="0"/>
              <w:right w:val="single" w:color="auto" w:sz="4" w:space="0"/>
            </w:tcBorders>
            <w:shd w:val="clear" w:color="auto" w:fill="auto"/>
            <w:vAlign w:val="center"/>
          </w:tcPr>
          <w:p w14:paraId="50053D54">
            <w:pPr>
              <w:widowControl/>
              <w:jc w:val="center"/>
              <w:rPr>
                <w:rFonts w:ascii="宋体" w:hAnsi="宋体" w:cs="宋体"/>
                <w:kern w:val="0"/>
                <w:sz w:val="18"/>
                <w:szCs w:val="18"/>
              </w:rPr>
            </w:pPr>
            <w:r>
              <w:rPr>
                <w:rFonts w:hint="eastAsia" w:ascii="宋体" w:hAnsi="宋体" w:cs="宋体"/>
                <w:kern w:val="0"/>
                <w:sz w:val="18"/>
                <w:szCs w:val="18"/>
              </w:rPr>
              <w:t>经济效益</w:t>
            </w:r>
            <w:r>
              <w:rPr>
                <w:rFonts w:hint="eastAsia" w:ascii="宋体" w:hAnsi="宋体" w:cs="宋体"/>
                <w:kern w:val="0"/>
                <w:sz w:val="18"/>
                <w:szCs w:val="18"/>
              </w:rPr>
              <w:br w:type="textWrapping"/>
            </w:r>
            <w:r>
              <w:rPr>
                <w:rFonts w:hint="eastAsia" w:ascii="宋体" w:hAnsi="宋体" w:cs="宋体"/>
                <w:kern w:val="0"/>
                <w:sz w:val="18"/>
                <w:szCs w:val="18"/>
              </w:rPr>
              <w:t>指标</w:t>
            </w:r>
          </w:p>
        </w:tc>
        <w:tc>
          <w:tcPr>
            <w:tcW w:w="2020" w:type="dxa"/>
            <w:tcBorders>
              <w:top w:val="nil"/>
              <w:left w:val="nil"/>
              <w:bottom w:val="single" w:color="auto" w:sz="4" w:space="0"/>
              <w:right w:val="single" w:color="auto" w:sz="4" w:space="0"/>
            </w:tcBorders>
            <w:shd w:val="clear" w:color="auto" w:fill="auto"/>
            <w:vAlign w:val="center"/>
          </w:tcPr>
          <w:p w14:paraId="4A03E315">
            <w:pPr>
              <w:widowControl/>
              <w:jc w:val="left"/>
              <w:rPr>
                <w:rFonts w:ascii="宋体" w:hAnsi="宋体" w:cs="宋体"/>
                <w:kern w:val="0"/>
                <w:sz w:val="18"/>
                <w:szCs w:val="18"/>
              </w:rPr>
            </w:pPr>
            <w:r>
              <w:rPr>
                <w:rFonts w:hint="eastAsia" w:ascii="宋体" w:hAnsi="宋体" w:cs="宋体"/>
                <w:kern w:val="0"/>
                <w:sz w:val="18"/>
                <w:szCs w:val="18"/>
              </w:rPr>
              <w:t>11户企业实现营业收入（万元）</w:t>
            </w:r>
          </w:p>
        </w:tc>
        <w:tc>
          <w:tcPr>
            <w:tcW w:w="1420" w:type="dxa"/>
            <w:tcBorders>
              <w:top w:val="nil"/>
              <w:left w:val="nil"/>
              <w:bottom w:val="single" w:color="auto" w:sz="4" w:space="0"/>
              <w:right w:val="single" w:color="auto" w:sz="4" w:space="0"/>
            </w:tcBorders>
            <w:shd w:val="clear" w:color="auto" w:fill="auto"/>
            <w:vAlign w:val="center"/>
          </w:tcPr>
          <w:p w14:paraId="5D68F402">
            <w:pPr>
              <w:widowControl/>
              <w:jc w:val="center"/>
              <w:rPr>
                <w:rFonts w:ascii="宋体" w:hAnsi="宋体" w:cs="宋体"/>
                <w:kern w:val="0"/>
                <w:sz w:val="18"/>
                <w:szCs w:val="18"/>
              </w:rPr>
            </w:pPr>
            <w:r>
              <w:rPr>
                <w:rFonts w:hint="eastAsia" w:ascii="宋体" w:hAnsi="宋体" w:cs="宋体"/>
                <w:kern w:val="0"/>
                <w:sz w:val="18"/>
                <w:szCs w:val="18"/>
              </w:rPr>
              <w:t>1843020.93</w:t>
            </w:r>
          </w:p>
        </w:tc>
        <w:tc>
          <w:tcPr>
            <w:tcW w:w="1120" w:type="dxa"/>
            <w:tcBorders>
              <w:top w:val="nil"/>
              <w:left w:val="nil"/>
              <w:bottom w:val="single" w:color="auto" w:sz="4" w:space="0"/>
              <w:right w:val="single" w:color="auto" w:sz="4" w:space="0"/>
            </w:tcBorders>
            <w:shd w:val="clear" w:color="auto" w:fill="auto"/>
            <w:vAlign w:val="center"/>
          </w:tcPr>
          <w:p w14:paraId="788B5E62">
            <w:pPr>
              <w:widowControl/>
              <w:jc w:val="center"/>
              <w:rPr>
                <w:rFonts w:ascii="宋体" w:hAnsi="宋体" w:cs="宋体"/>
                <w:kern w:val="0"/>
                <w:sz w:val="18"/>
                <w:szCs w:val="18"/>
              </w:rPr>
            </w:pPr>
            <w:r>
              <w:rPr>
                <w:rFonts w:hint="eastAsia" w:ascii="宋体" w:hAnsi="宋体" w:cs="宋体"/>
                <w:kern w:val="0"/>
                <w:sz w:val="18"/>
                <w:szCs w:val="18"/>
              </w:rPr>
              <w:t>1843020.93</w:t>
            </w:r>
          </w:p>
        </w:tc>
        <w:tc>
          <w:tcPr>
            <w:tcW w:w="780" w:type="dxa"/>
            <w:tcBorders>
              <w:top w:val="nil"/>
              <w:left w:val="nil"/>
              <w:bottom w:val="single" w:color="auto" w:sz="4" w:space="0"/>
              <w:right w:val="single" w:color="auto" w:sz="4" w:space="0"/>
            </w:tcBorders>
            <w:shd w:val="clear" w:color="auto" w:fill="auto"/>
            <w:vAlign w:val="center"/>
          </w:tcPr>
          <w:p w14:paraId="32C1112B">
            <w:pPr>
              <w:widowControl/>
              <w:jc w:val="center"/>
              <w:rPr>
                <w:rFonts w:ascii="宋体" w:hAnsi="宋体" w:cs="宋体"/>
                <w:kern w:val="0"/>
                <w:sz w:val="18"/>
                <w:szCs w:val="18"/>
              </w:rPr>
            </w:pPr>
            <w:r>
              <w:rPr>
                <w:rFonts w:hint="eastAsia" w:ascii="宋体" w:hAnsi="宋体" w:cs="宋体"/>
                <w:kern w:val="0"/>
                <w:sz w:val="18"/>
                <w:szCs w:val="18"/>
              </w:rPr>
              <w:t>100%</w:t>
            </w:r>
          </w:p>
        </w:tc>
        <w:tc>
          <w:tcPr>
            <w:tcW w:w="700" w:type="dxa"/>
            <w:tcBorders>
              <w:top w:val="nil"/>
              <w:left w:val="nil"/>
              <w:bottom w:val="single" w:color="auto" w:sz="4" w:space="0"/>
              <w:right w:val="single" w:color="auto" w:sz="4" w:space="0"/>
            </w:tcBorders>
            <w:shd w:val="clear" w:color="auto" w:fill="auto"/>
            <w:vAlign w:val="center"/>
          </w:tcPr>
          <w:p w14:paraId="1BD8D42A">
            <w:pPr>
              <w:widowControl/>
              <w:jc w:val="left"/>
              <w:rPr>
                <w:rFonts w:ascii="宋体" w:hAnsi="宋体" w:cs="宋体"/>
                <w:kern w:val="0"/>
                <w:sz w:val="18"/>
                <w:szCs w:val="18"/>
              </w:rPr>
            </w:pPr>
            <w:r>
              <w:rPr>
                <w:rFonts w:hint="eastAsia" w:ascii="宋体" w:hAnsi="宋体" w:cs="宋体"/>
                <w:kern w:val="0"/>
                <w:sz w:val="18"/>
                <w:szCs w:val="18"/>
              </w:rPr>
              <w:t>　</w:t>
            </w:r>
          </w:p>
        </w:tc>
      </w:tr>
      <w:tr w14:paraId="2FDB336D">
        <w:tblPrEx>
          <w:tblCellMar>
            <w:top w:w="0" w:type="dxa"/>
            <w:left w:w="108" w:type="dxa"/>
            <w:bottom w:w="0" w:type="dxa"/>
            <w:right w:w="108" w:type="dxa"/>
          </w:tblCellMar>
        </w:tblPrEx>
        <w:trPr>
          <w:trHeight w:val="510" w:hRule="atLeast"/>
        </w:trPr>
        <w:tc>
          <w:tcPr>
            <w:tcW w:w="740" w:type="dxa"/>
            <w:vMerge w:val="continue"/>
            <w:tcBorders>
              <w:top w:val="nil"/>
              <w:left w:val="single" w:color="auto" w:sz="4" w:space="0"/>
              <w:bottom w:val="single" w:color="auto" w:sz="4" w:space="0"/>
              <w:right w:val="single" w:color="auto" w:sz="4" w:space="0"/>
            </w:tcBorders>
            <w:vAlign w:val="center"/>
          </w:tcPr>
          <w:p w14:paraId="64E7FD47">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4CA83374">
            <w:pPr>
              <w:widowControl/>
              <w:jc w:val="left"/>
              <w:rPr>
                <w:rFonts w:ascii="宋体" w:hAnsi="宋体" w:cs="宋体"/>
                <w:kern w:val="0"/>
                <w:sz w:val="18"/>
                <w:szCs w:val="18"/>
              </w:rPr>
            </w:pPr>
          </w:p>
        </w:tc>
        <w:tc>
          <w:tcPr>
            <w:tcW w:w="1120" w:type="dxa"/>
            <w:vMerge w:val="continue"/>
            <w:tcBorders>
              <w:top w:val="nil"/>
              <w:left w:val="single" w:color="auto" w:sz="4" w:space="0"/>
              <w:bottom w:val="single" w:color="auto" w:sz="4" w:space="0"/>
              <w:right w:val="single" w:color="auto" w:sz="4" w:space="0"/>
            </w:tcBorders>
            <w:vAlign w:val="center"/>
          </w:tcPr>
          <w:p w14:paraId="2F4F363D">
            <w:pPr>
              <w:widowControl/>
              <w:jc w:val="left"/>
              <w:rPr>
                <w:rFonts w:ascii="宋体" w:hAnsi="宋体" w:cs="宋体"/>
                <w:kern w:val="0"/>
                <w:sz w:val="18"/>
                <w:szCs w:val="18"/>
              </w:rPr>
            </w:pPr>
          </w:p>
        </w:tc>
        <w:tc>
          <w:tcPr>
            <w:tcW w:w="2020" w:type="dxa"/>
            <w:tcBorders>
              <w:top w:val="nil"/>
              <w:left w:val="nil"/>
              <w:bottom w:val="single" w:color="auto" w:sz="4" w:space="0"/>
              <w:right w:val="single" w:color="auto" w:sz="4" w:space="0"/>
            </w:tcBorders>
            <w:shd w:val="clear" w:color="auto" w:fill="auto"/>
            <w:vAlign w:val="center"/>
          </w:tcPr>
          <w:p w14:paraId="672D007E">
            <w:pPr>
              <w:widowControl/>
              <w:jc w:val="left"/>
              <w:rPr>
                <w:rFonts w:ascii="宋体" w:hAnsi="宋体" w:cs="宋体"/>
                <w:kern w:val="0"/>
                <w:sz w:val="18"/>
                <w:szCs w:val="18"/>
              </w:rPr>
            </w:pPr>
            <w:r>
              <w:rPr>
                <w:rFonts w:hint="eastAsia" w:ascii="宋体" w:hAnsi="宋体" w:cs="宋体"/>
                <w:kern w:val="0"/>
                <w:sz w:val="18"/>
                <w:szCs w:val="18"/>
              </w:rPr>
              <w:t>11户企业实现利润（万元）</w:t>
            </w:r>
          </w:p>
        </w:tc>
        <w:tc>
          <w:tcPr>
            <w:tcW w:w="1420" w:type="dxa"/>
            <w:tcBorders>
              <w:top w:val="nil"/>
              <w:left w:val="nil"/>
              <w:bottom w:val="single" w:color="auto" w:sz="4" w:space="0"/>
              <w:right w:val="single" w:color="auto" w:sz="4" w:space="0"/>
            </w:tcBorders>
            <w:shd w:val="clear" w:color="auto" w:fill="auto"/>
            <w:vAlign w:val="center"/>
          </w:tcPr>
          <w:p w14:paraId="2A9EB441">
            <w:pPr>
              <w:widowControl/>
              <w:jc w:val="center"/>
              <w:rPr>
                <w:rFonts w:ascii="宋体" w:hAnsi="宋体" w:cs="宋体"/>
                <w:kern w:val="0"/>
                <w:sz w:val="18"/>
                <w:szCs w:val="18"/>
              </w:rPr>
            </w:pPr>
            <w:r>
              <w:rPr>
                <w:rFonts w:hint="eastAsia" w:ascii="宋体" w:hAnsi="宋体" w:cs="宋体"/>
                <w:kern w:val="0"/>
                <w:sz w:val="18"/>
                <w:szCs w:val="18"/>
              </w:rPr>
              <w:t>645800.93</w:t>
            </w:r>
          </w:p>
        </w:tc>
        <w:tc>
          <w:tcPr>
            <w:tcW w:w="1120" w:type="dxa"/>
            <w:tcBorders>
              <w:top w:val="nil"/>
              <w:left w:val="nil"/>
              <w:bottom w:val="single" w:color="auto" w:sz="4" w:space="0"/>
              <w:right w:val="single" w:color="auto" w:sz="4" w:space="0"/>
            </w:tcBorders>
            <w:shd w:val="clear" w:color="auto" w:fill="auto"/>
            <w:vAlign w:val="center"/>
          </w:tcPr>
          <w:p w14:paraId="406CBD3A">
            <w:pPr>
              <w:widowControl/>
              <w:jc w:val="center"/>
              <w:rPr>
                <w:rFonts w:ascii="宋体" w:hAnsi="宋体" w:cs="宋体"/>
                <w:kern w:val="0"/>
                <w:sz w:val="18"/>
                <w:szCs w:val="18"/>
              </w:rPr>
            </w:pPr>
            <w:r>
              <w:rPr>
                <w:rFonts w:hint="eastAsia" w:ascii="宋体" w:hAnsi="宋体" w:cs="宋体"/>
                <w:kern w:val="0"/>
                <w:sz w:val="18"/>
                <w:szCs w:val="18"/>
              </w:rPr>
              <w:t>645800.93</w:t>
            </w:r>
          </w:p>
        </w:tc>
        <w:tc>
          <w:tcPr>
            <w:tcW w:w="780" w:type="dxa"/>
            <w:tcBorders>
              <w:top w:val="nil"/>
              <w:left w:val="nil"/>
              <w:bottom w:val="single" w:color="auto" w:sz="4" w:space="0"/>
              <w:right w:val="single" w:color="auto" w:sz="4" w:space="0"/>
            </w:tcBorders>
            <w:shd w:val="clear" w:color="auto" w:fill="auto"/>
            <w:vAlign w:val="center"/>
          </w:tcPr>
          <w:p w14:paraId="1898B34E">
            <w:pPr>
              <w:widowControl/>
              <w:jc w:val="center"/>
              <w:rPr>
                <w:rFonts w:ascii="宋体" w:hAnsi="宋体" w:cs="宋体"/>
                <w:kern w:val="0"/>
                <w:sz w:val="18"/>
                <w:szCs w:val="18"/>
              </w:rPr>
            </w:pPr>
            <w:r>
              <w:rPr>
                <w:rFonts w:hint="eastAsia" w:ascii="宋体" w:hAnsi="宋体" w:cs="宋体"/>
                <w:kern w:val="0"/>
                <w:sz w:val="18"/>
                <w:szCs w:val="18"/>
              </w:rPr>
              <w:t>100%</w:t>
            </w:r>
          </w:p>
        </w:tc>
        <w:tc>
          <w:tcPr>
            <w:tcW w:w="700" w:type="dxa"/>
            <w:tcBorders>
              <w:top w:val="nil"/>
              <w:left w:val="nil"/>
              <w:bottom w:val="single" w:color="auto" w:sz="4" w:space="0"/>
              <w:right w:val="single" w:color="auto" w:sz="4" w:space="0"/>
            </w:tcBorders>
            <w:shd w:val="clear" w:color="auto" w:fill="auto"/>
            <w:vAlign w:val="center"/>
          </w:tcPr>
          <w:p w14:paraId="1062EC89">
            <w:pPr>
              <w:widowControl/>
              <w:jc w:val="left"/>
              <w:rPr>
                <w:rFonts w:ascii="宋体" w:hAnsi="宋体" w:cs="宋体"/>
                <w:kern w:val="0"/>
                <w:sz w:val="18"/>
                <w:szCs w:val="18"/>
              </w:rPr>
            </w:pPr>
            <w:r>
              <w:rPr>
                <w:rFonts w:hint="eastAsia" w:ascii="宋体" w:hAnsi="宋体" w:cs="宋体"/>
                <w:kern w:val="0"/>
                <w:sz w:val="18"/>
                <w:szCs w:val="18"/>
              </w:rPr>
              <w:t>　</w:t>
            </w:r>
          </w:p>
        </w:tc>
      </w:tr>
      <w:tr w14:paraId="342A6EC9">
        <w:tblPrEx>
          <w:tblCellMar>
            <w:top w:w="0" w:type="dxa"/>
            <w:left w:w="108" w:type="dxa"/>
            <w:bottom w:w="0" w:type="dxa"/>
            <w:right w:w="108" w:type="dxa"/>
          </w:tblCellMar>
        </w:tblPrEx>
        <w:trPr>
          <w:trHeight w:val="510" w:hRule="atLeast"/>
        </w:trPr>
        <w:tc>
          <w:tcPr>
            <w:tcW w:w="740" w:type="dxa"/>
            <w:vMerge w:val="continue"/>
            <w:tcBorders>
              <w:top w:val="nil"/>
              <w:left w:val="single" w:color="auto" w:sz="4" w:space="0"/>
              <w:bottom w:val="single" w:color="auto" w:sz="4" w:space="0"/>
              <w:right w:val="single" w:color="auto" w:sz="4" w:space="0"/>
            </w:tcBorders>
            <w:vAlign w:val="center"/>
          </w:tcPr>
          <w:p w14:paraId="0CD5DE96">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43009E25">
            <w:pPr>
              <w:widowControl/>
              <w:jc w:val="left"/>
              <w:rPr>
                <w:rFonts w:ascii="宋体" w:hAnsi="宋体" w:cs="宋体"/>
                <w:kern w:val="0"/>
                <w:sz w:val="18"/>
                <w:szCs w:val="18"/>
              </w:rPr>
            </w:pPr>
          </w:p>
        </w:tc>
        <w:tc>
          <w:tcPr>
            <w:tcW w:w="1120" w:type="dxa"/>
            <w:tcBorders>
              <w:top w:val="nil"/>
              <w:left w:val="nil"/>
              <w:bottom w:val="single" w:color="auto" w:sz="4" w:space="0"/>
              <w:right w:val="single" w:color="auto" w:sz="4" w:space="0"/>
            </w:tcBorders>
            <w:shd w:val="clear" w:color="auto" w:fill="auto"/>
            <w:vAlign w:val="center"/>
          </w:tcPr>
          <w:p w14:paraId="588C0332">
            <w:pPr>
              <w:widowControl/>
              <w:jc w:val="center"/>
              <w:rPr>
                <w:rFonts w:ascii="宋体" w:hAnsi="宋体" w:cs="宋体"/>
                <w:kern w:val="0"/>
                <w:sz w:val="18"/>
                <w:szCs w:val="18"/>
              </w:rPr>
            </w:pPr>
            <w:r>
              <w:rPr>
                <w:rFonts w:hint="eastAsia" w:ascii="宋体" w:hAnsi="宋体" w:cs="宋体"/>
                <w:kern w:val="0"/>
                <w:sz w:val="18"/>
                <w:szCs w:val="18"/>
              </w:rPr>
              <w:t>社会效益</w:t>
            </w:r>
            <w:r>
              <w:rPr>
                <w:rFonts w:hint="eastAsia" w:ascii="宋体" w:hAnsi="宋体" w:cs="宋体"/>
                <w:kern w:val="0"/>
                <w:sz w:val="18"/>
                <w:szCs w:val="18"/>
              </w:rPr>
              <w:br w:type="textWrapping"/>
            </w:r>
            <w:r>
              <w:rPr>
                <w:rFonts w:hint="eastAsia" w:ascii="宋体" w:hAnsi="宋体" w:cs="宋体"/>
                <w:kern w:val="0"/>
                <w:sz w:val="18"/>
                <w:szCs w:val="18"/>
              </w:rPr>
              <w:t>指标</w:t>
            </w:r>
          </w:p>
        </w:tc>
        <w:tc>
          <w:tcPr>
            <w:tcW w:w="2020" w:type="dxa"/>
            <w:tcBorders>
              <w:top w:val="nil"/>
              <w:left w:val="nil"/>
              <w:bottom w:val="single" w:color="auto" w:sz="4" w:space="0"/>
              <w:right w:val="single" w:color="auto" w:sz="4" w:space="0"/>
            </w:tcBorders>
            <w:shd w:val="clear" w:color="auto" w:fill="auto"/>
            <w:vAlign w:val="center"/>
          </w:tcPr>
          <w:p w14:paraId="098346E5">
            <w:pPr>
              <w:widowControl/>
              <w:jc w:val="left"/>
              <w:rPr>
                <w:rFonts w:ascii="宋体" w:hAnsi="宋体" w:cs="宋体"/>
                <w:kern w:val="0"/>
                <w:sz w:val="18"/>
                <w:szCs w:val="18"/>
              </w:rPr>
            </w:pPr>
            <w:r>
              <w:rPr>
                <w:rFonts w:hint="eastAsia" w:ascii="宋体" w:hAnsi="宋体" w:cs="宋体"/>
                <w:kern w:val="0"/>
                <w:sz w:val="18"/>
                <w:szCs w:val="18"/>
              </w:rPr>
              <w:t>11户企业带动从业人员（人）</w:t>
            </w:r>
          </w:p>
        </w:tc>
        <w:tc>
          <w:tcPr>
            <w:tcW w:w="1420" w:type="dxa"/>
            <w:tcBorders>
              <w:top w:val="nil"/>
              <w:left w:val="nil"/>
              <w:bottom w:val="nil"/>
              <w:right w:val="nil"/>
            </w:tcBorders>
            <w:shd w:val="clear" w:color="auto" w:fill="auto"/>
            <w:noWrap/>
            <w:vAlign w:val="center"/>
          </w:tcPr>
          <w:p w14:paraId="5B831357">
            <w:pPr>
              <w:widowControl/>
              <w:jc w:val="center"/>
              <w:rPr>
                <w:rFonts w:ascii="宋体" w:hAnsi="宋体" w:cs="宋体"/>
                <w:kern w:val="0"/>
                <w:sz w:val="18"/>
                <w:szCs w:val="18"/>
              </w:rPr>
            </w:pPr>
            <w:r>
              <w:rPr>
                <w:rFonts w:hint="eastAsia" w:ascii="宋体" w:hAnsi="宋体" w:cs="宋体"/>
                <w:kern w:val="0"/>
                <w:sz w:val="18"/>
                <w:szCs w:val="18"/>
              </w:rPr>
              <w:t>10837</w:t>
            </w:r>
          </w:p>
        </w:tc>
        <w:tc>
          <w:tcPr>
            <w:tcW w:w="1120" w:type="dxa"/>
            <w:tcBorders>
              <w:top w:val="nil"/>
              <w:left w:val="nil"/>
              <w:bottom w:val="nil"/>
              <w:right w:val="nil"/>
            </w:tcBorders>
            <w:shd w:val="clear" w:color="auto" w:fill="auto"/>
            <w:noWrap/>
            <w:vAlign w:val="center"/>
          </w:tcPr>
          <w:p w14:paraId="1595DF7F">
            <w:pPr>
              <w:widowControl/>
              <w:jc w:val="center"/>
              <w:rPr>
                <w:rFonts w:ascii="宋体" w:hAnsi="宋体" w:cs="宋体"/>
                <w:kern w:val="0"/>
                <w:sz w:val="18"/>
                <w:szCs w:val="18"/>
              </w:rPr>
            </w:pPr>
            <w:r>
              <w:rPr>
                <w:rFonts w:hint="eastAsia" w:ascii="宋体" w:hAnsi="宋体" w:cs="宋体"/>
                <w:kern w:val="0"/>
                <w:sz w:val="18"/>
                <w:szCs w:val="18"/>
              </w:rPr>
              <w:t>10837</w:t>
            </w:r>
          </w:p>
        </w:tc>
        <w:tc>
          <w:tcPr>
            <w:tcW w:w="780" w:type="dxa"/>
            <w:tcBorders>
              <w:top w:val="nil"/>
              <w:left w:val="single" w:color="auto" w:sz="4" w:space="0"/>
              <w:bottom w:val="single" w:color="auto" w:sz="4" w:space="0"/>
              <w:right w:val="single" w:color="auto" w:sz="4" w:space="0"/>
            </w:tcBorders>
            <w:shd w:val="clear" w:color="auto" w:fill="auto"/>
            <w:vAlign w:val="center"/>
          </w:tcPr>
          <w:p w14:paraId="491A3B70">
            <w:pPr>
              <w:widowControl/>
              <w:jc w:val="center"/>
              <w:rPr>
                <w:rFonts w:ascii="宋体" w:hAnsi="宋体" w:cs="宋体"/>
                <w:kern w:val="0"/>
                <w:sz w:val="18"/>
                <w:szCs w:val="18"/>
              </w:rPr>
            </w:pPr>
            <w:r>
              <w:rPr>
                <w:rFonts w:hint="eastAsia" w:ascii="宋体" w:hAnsi="宋体" w:cs="宋体"/>
                <w:kern w:val="0"/>
                <w:sz w:val="18"/>
                <w:szCs w:val="18"/>
              </w:rPr>
              <w:t>100%</w:t>
            </w:r>
          </w:p>
        </w:tc>
        <w:tc>
          <w:tcPr>
            <w:tcW w:w="700" w:type="dxa"/>
            <w:tcBorders>
              <w:top w:val="nil"/>
              <w:left w:val="nil"/>
              <w:bottom w:val="single" w:color="auto" w:sz="4" w:space="0"/>
              <w:right w:val="single" w:color="auto" w:sz="4" w:space="0"/>
            </w:tcBorders>
            <w:shd w:val="clear" w:color="auto" w:fill="auto"/>
            <w:vAlign w:val="center"/>
          </w:tcPr>
          <w:p w14:paraId="798C31D3">
            <w:pPr>
              <w:widowControl/>
              <w:jc w:val="left"/>
              <w:rPr>
                <w:rFonts w:ascii="宋体" w:hAnsi="宋体" w:cs="宋体"/>
                <w:kern w:val="0"/>
                <w:sz w:val="18"/>
                <w:szCs w:val="18"/>
              </w:rPr>
            </w:pPr>
            <w:r>
              <w:rPr>
                <w:rFonts w:hint="eastAsia" w:ascii="宋体" w:hAnsi="宋体" w:cs="宋体"/>
                <w:kern w:val="0"/>
                <w:sz w:val="18"/>
                <w:szCs w:val="18"/>
              </w:rPr>
              <w:t>　</w:t>
            </w:r>
          </w:p>
        </w:tc>
      </w:tr>
      <w:tr w14:paraId="237E280A">
        <w:tblPrEx>
          <w:tblCellMar>
            <w:top w:w="0" w:type="dxa"/>
            <w:left w:w="108" w:type="dxa"/>
            <w:bottom w:w="0" w:type="dxa"/>
            <w:right w:w="108" w:type="dxa"/>
          </w:tblCellMar>
        </w:tblPrEx>
        <w:trPr>
          <w:trHeight w:val="675" w:hRule="atLeast"/>
        </w:trPr>
        <w:tc>
          <w:tcPr>
            <w:tcW w:w="740" w:type="dxa"/>
            <w:vMerge w:val="continue"/>
            <w:tcBorders>
              <w:top w:val="nil"/>
              <w:left w:val="single" w:color="auto" w:sz="4" w:space="0"/>
              <w:bottom w:val="single" w:color="auto" w:sz="4" w:space="0"/>
              <w:right w:val="single" w:color="auto" w:sz="4" w:space="0"/>
            </w:tcBorders>
            <w:vAlign w:val="center"/>
          </w:tcPr>
          <w:p w14:paraId="7D824D5D">
            <w:pPr>
              <w:widowControl/>
              <w:jc w:val="left"/>
              <w:rPr>
                <w:rFonts w:ascii="宋体" w:hAnsi="宋体" w:cs="宋体"/>
                <w:kern w:val="0"/>
                <w:sz w:val="18"/>
                <w:szCs w:val="18"/>
              </w:rPr>
            </w:pPr>
          </w:p>
        </w:tc>
        <w:tc>
          <w:tcPr>
            <w:tcW w:w="740" w:type="dxa"/>
            <w:vMerge w:val="continue"/>
            <w:tcBorders>
              <w:top w:val="nil"/>
              <w:left w:val="single" w:color="auto" w:sz="4" w:space="0"/>
              <w:bottom w:val="single" w:color="auto" w:sz="4" w:space="0"/>
              <w:right w:val="single" w:color="auto" w:sz="4" w:space="0"/>
            </w:tcBorders>
            <w:vAlign w:val="center"/>
          </w:tcPr>
          <w:p w14:paraId="7BFF4B6B">
            <w:pPr>
              <w:widowControl/>
              <w:jc w:val="left"/>
              <w:rPr>
                <w:rFonts w:ascii="宋体" w:hAnsi="宋体" w:cs="宋体"/>
                <w:kern w:val="0"/>
                <w:sz w:val="18"/>
                <w:szCs w:val="18"/>
              </w:rPr>
            </w:pPr>
          </w:p>
        </w:tc>
        <w:tc>
          <w:tcPr>
            <w:tcW w:w="1120" w:type="dxa"/>
            <w:tcBorders>
              <w:top w:val="nil"/>
              <w:left w:val="nil"/>
              <w:bottom w:val="single" w:color="auto" w:sz="4" w:space="0"/>
              <w:right w:val="single" w:color="auto" w:sz="4" w:space="0"/>
            </w:tcBorders>
            <w:shd w:val="clear" w:color="auto" w:fill="auto"/>
            <w:vAlign w:val="center"/>
          </w:tcPr>
          <w:p w14:paraId="3BD8929F">
            <w:pPr>
              <w:widowControl/>
              <w:jc w:val="center"/>
              <w:rPr>
                <w:rFonts w:ascii="宋体" w:hAnsi="宋体" w:cs="宋体"/>
                <w:kern w:val="0"/>
                <w:sz w:val="18"/>
                <w:szCs w:val="18"/>
              </w:rPr>
            </w:pPr>
            <w:r>
              <w:rPr>
                <w:rFonts w:hint="eastAsia" w:ascii="宋体" w:hAnsi="宋体" w:cs="宋体"/>
                <w:kern w:val="0"/>
                <w:sz w:val="18"/>
                <w:szCs w:val="18"/>
              </w:rPr>
              <w:t>可持续影响</w:t>
            </w:r>
            <w:r>
              <w:rPr>
                <w:rFonts w:hint="eastAsia" w:ascii="宋体" w:hAnsi="宋体" w:cs="宋体"/>
                <w:kern w:val="0"/>
                <w:sz w:val="18"/>
                <w:szCs w:val="18"/>
              </w:rPr>
              <w:br w:type="textWrapping"/>
            </w:r>
            <w:r>
              <w:rPr>
                <w:rFonts w:hint="eastAsia" w:ascii="宋体" w:hAnsi="宋体" w:cs="宋体"/>
                <w:kern w:val="0"/>
                <w:sz w:val="18"/>
                <w:szCs w:val="18"/>
              </w:rPr>
              <w:t>指标</w:t>
            </w:r>
          </w:p>
        </w:tc>
        <w:tc>
          <w:tcPr>
            <w:tcW w:w="2020" w:type="dxa"/>
            <w:tcBorders>
              <w:top w:val="nil"/>
              <w:left w:val="nil"/>
              <w:bottom w:val="single" w:color="auto" w:sz="4" w:space="0"/>
              <w:right w:val="single" w:color="auto" w:sz="4" w:space="0"/>
            </w:tcBorders>
            <w:shd w:val="clear" w:color="auto" w:fill="auto"/>
            <w:vAlign w:val="center"/>
          </w:tcPr>
          <w:p w14:paraId="129912AA">
            <w:pPr>
              <w:widowControl/>
              <w:jc w:val="left"/>
              <w:rPr>
                <w:rFonts w:ascii="宋体" w:hAnsi="宋体" w:cs="宋体"/>
                <w:kern w:val="0"/>
                <w:sz w:val="18"/>
                <w:szCs w:val="18"/>
              </w:rPr>
            </w:pPr>
            <w:r>
              <w:rPr>
                <w:rFonts w:hint="eastAsia" w:ascii="宋体" w:hAnsi="宋体" w:cs="宋体"/>
                <w:kern w:val="0"/>
                <w:sz w:val="18"/>
                <w:szCs w:val="18"/>
              </w:rPr>
              <w:t>促进攀西经济区域建设</w:t>
            </w:r>
          </w:p>
        </w:tc>
        <w:tc>
          <w:tcPr>
            <w:tcW w:w="1420" w:type="dxa"/>
            <w:tcBorders>
              <w:top w:val="single" w:color="auto" w:sz="4" w:space="0"/>
              <w:left w:val="nil"/>
              <w:bottom w:val="single" w:color="auto" w:sz="4" w:space="0"/>
              <w:right w:val="single" w:color="auto" w:sz="4" w:space="0"/>
            </w:tcBorders>
            <w:shd w:val="clear" w:color="auto" w:fill="auto"/>
            <w:vAlign w:val="center"/>
          </w:tcPr>
          <w:p w14:paraId="1335DF2D">
            <w:pPr>
              <w:widowControl/>
              <w:jc w:val="center"/>
              <w:rPr>
                <w:rFonts w:ascii="宋体" w:hAnsi="宋体" w:cs="宋体"/>
                <w:kern w:val="0"/>
                <w:sz w:val="18"/>
                <w:szCs w:val="18"/>
              </w:rPr>
            </w:pPr>
            <w:r>
              <w:rPr>
                <w:rFonts w:hint="eastAsia" w:ascii="宋体" w:hAnsi="宋体" w:cs="宋体"/>
                <w:kern w:val="0"/>
                <w:sz w:val="18"/>
                <w:szCs w:val="18"/>
              </w:rPr>
              <w:t>可持续</w:t>
            </w:r>
          </w:p>
        </w:tc>
        <w:tc>
          <w:tcPr>
            <w:tcW w:w="1120" w:type="dxa"/>
            <w:tcBorders>
              <w:top w:val="single" w:color="auto" w:sz="4" w:space="0"/>
              <w:left w:val="nil"/>
              <w:bottom w:val="single" w:color="auto" w:sz="4" w:space="0"/>
              <w:right w:val="single" w:color="auto" w:sz="4" w:space="0"/>
            </w:tcBorders>
            <w:shd w:val="clear" w:color="auto" w:fill="auto"/>
            <w:vAlign w:val="center"/>
          </w:tcPr>
          <w:p w14:paraId="187E2170">
            <w:pPr>
              <w:widowControl/>
              <w:jc w:val="center"/>
              <w:rPr>
                <w:rFonts w:ascii="宋体" w:hAnsi="宋体" w:cs="宋体"/>
                <w:kern w:val="0"/>
                <w:sz w:val="18"/>
                <w:szCs w:val="18"/>
              </w:rPr>
            </w:pPr>
            <w:r>
              <w:rPr>
                <w:rFonts w:hint="eastAsia" w:ascii="宋体" w:hAnsi="宋体" w:cs="宋体"/>
                <w:kern w:val="0"/>
                <w:sz w:val="18"/>
                <w:szCs w:val="18"/>
              </w:rPr>
              <w:t>可持续</w:t>
            </w:r>
          </w:p>
        </w:tc>
        <w:tc>
          <w:tcPr>
            <w:tcW w:w="780" w:type="dxa"/>
            <w:tcBorders>
              <w:top w:val="nil"/>
              <w:left w:val="nil"/>
              <w:bottom w:val="single" w:color="auto" w:sz="4" w:space="0"/>
              <w:right w:val="single" w:color="auto" w:sz="4" w:space="0"/>
            </w:tcBorders>
            <w:shd w:val="clear" w:color="auto" w:fill="auto"/>
            <w:vAlign w:val="center"/>
          </w:tcPr>
          <w:p w14:paraId="62E1A25D">
            <w:pPr>
              <w:widowControl/>
              <w:jc w:val="center"/>
              <w:rPr>
                <w:rFonts w:ascii="宋体" w:hAnsi="宋体" w:cs="宋体"/>
                <w:kern w:val="0"/>
                <w:sz w:val="18"/>
                <w:szCs w:val="18"/>
              </w:rPr>
            </w:pPr>
            <w:r>
              <w:rPr>
                <w:rFonts w:hint="eastAsia" w:ascii="宋体" w:hAnsi="宋体" w:cs="宋体"/>
                <w:kern w:val="0"/>
                <w:sz w:val="18"/>
                <w:szCs w:val="18"/>
              </w:rPr>
              <w:t>100%</w:t>
            </w:r>
          </w:p>
        </w:tc>
        <w:tc>
          <w:tcPr>
            <w:tcW w:w="700" w:type="dxa"/>
            <w:tcBorders>
              <w:top w:val="nil"/>
              <w:left w:val="nil"/>
              <w:bottom w:val="single" w:color="auto" w:sz="4" w:space="0"/>
              <w:right w:val="single" w:color="auto" w:sz="4" w:space="0"/>
            </w:tcBorders>
            <w:shd w:val="clear" w:color="auto" w:fill="auto"/>
            <w:vAlign w:val="center"/>
          </w:tcPr>
          <w:p w14:paraId="3A17B415">
            <w:pPr>
              <w:widowControl/>
              <w:jc w:val="left"/>
              <w:rPr>
                <w:rFonts w:ascii="宋体" w:hAnsi="宋体" w:cs="宋体"/>
                <w:kern w:val="0"/>
                <w:sz w:val="18"/>
                <w:szCs w:val="18"/>
              </w:rPr>
            </w:pPr>
            <w:r>
              <w:rPr>
                <w:rFonts w:hint="eastAsia" w:ascii="宋体" w:hAnsi="宋体" w:cs="宋体"/>
                <w:kern w:val="0"/>
                <w:sz w:val="18"/>
                <w:szCs w:val="18"/>
              </w:rPr>
              <w:t>　</w:t>
            </w:r>
          </w:p>
        </w:tc>
      </w:tr>
      <w:tr w14:paraId="64008222">
        <w:tblPrEx>
          <w:tblCellMar>
            <w:top w:w="0" w:type="dxa"/>
            <w:left w:w="108" w:type="dxa"/>
            <w:bottom w:w="0" w:type="dxa"/>
            <w:right w:w="108" w:type="dxa"/>
          </w:tblCellMar>
        </w:tblPrEx>
        <w:trPr>
          <w:trHeight w:val="510" w:hRule="atLeast"/>
        </w:trPr>
        <w:tc>
          <w:tcPr>
            <w:tcW w:w="740" w:type="dxa"/>
            <w:vMerge w:val="continue"/>
            <w:tcBorders>
              <w:top w:val="nil"/>
              <w:left w:val="single" w:color="auto" w:sz="4" w:space="0"/>
              <w:bottom w:val="single" w:color="auto" w:sz="4" w:space="0"/>
              <w:right w:val="single" w:color="auto" w:sz="4" w:space="0"/>
            </w:tcBorders>
            <w:vAlign w:val="center"/>
          </w:tcPr>
          <w:p w14:paraId="32142080">
            <w:pPr>
              <w:widowControl/>
              <w:jc w:val="left"/>
              <w:rPr>
                <w:rFonts w:ascii="宋体" w:hAnsi="宋体" w:cs="宋体"/>
                <w:kern w:val="0"/>
                <w:sz w:val="18"/>
                <w:szCs w:val="18"/>
              </w:rPr>
            </w:pPr>
          </w:p>
        </w:tc>
        <w:tc>
          <w:tcPr>
            <w:tcW w:w="740" w:type="dxa"/>
            <w:tcBorders>
              <w:top w:val="nil"/>
              <w:left w:val="nil"/>
              <w:bottom w:val="single" w:color="auto" w:sz="4" w:space="0"/>
              <w:right w:val="single" w:color="auto" w:sz="4" w:space="0"/>
            </w:tcBorders>
            <w:shd w:val="clear" w:color="auto" w:fill="auto"/>
            <w:vAlign w:val="center"/>
          </w:tcPr>
          <w:p w14:paraId="44DA9C60">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120" w:type="dxa"/>
            <w:tcBorders>
              <w:top w:val="nil"/>
              <w:left w:val="nil"/>
              <w:bottom w:val="single" w:color="auto" w:sz="4" w:space="0"/>
              <w:right w:val="single" w:color="auto" w:sz="4" w:space="0"/>
            </w:tcBorders>
            <w:shd w:val="clear" w:color="auto" w:fill="auto"/>
            <w:vAlign w:val="center"/>
          </w:tcPr>
          <w:p w14:paraId="1F9B8706">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020" w:type="dxa"/>
            <w:tcBorders>
              <w:top w:val="nil"/>
              <w:left w:val="nil"/>
              <w:bottom w:val="single" w:color="auto" w:sz="4" w:space="0"/>
              <w:right w:val="single" w:color="auto" w:sz="4" w:space="0"/>
            </w:tcBorders>
            <w:shd w:val="clear" w:color="auto" w:fill="auto"/>
            <w:vAlign w:val="center"/>
          </w:tcPr>
          <w:p w14:paraId="7467343C">
            <w:pPr>
              <w:widowControl/>
              <w:jc w:val="left"/>
              <w:rPr>
                <w:rFonts w:ascii="宋体" w:hAnsi="宋体" w:cs="宋体"/>
                <w:kern w:val="0"/>
                <w:sz w:val="18"/>
                <w:szCs w:val="18"/>
              </w:rPr>
            </w:pPr>
            <w:r>
              <w:rPr>
                <w:rFonts w:hint="eastAsia" w:ascii="宋体" w:hAnsi="宋体" w:cs="宋体"/>
                <w:kern w:val="0"/>
                <w:sz w:val="18"/>
                <w:szCs w:val="18"/>
              </w:rPr>
              <w:t>用人单位满意度</w:t>
            </w:r>
          </w:p>
        </w:tc>
        <w:tc>
          <w:tcPr>
            <w:tcW w:w="1420" w:type="dxa"/>
            <w:tcBorders>
              <w:top w:val="nil"/>
              <w:left w:val="nil"/>
              <w:bottom w:val="single" w:color="auto" w:sz="4" w:space="0"/>
              <w:right w:val="single" w:color="auto" w:sz="4" w:space="0"/>
            </w:tcBorders>
            <w:shd w:val="clear" w:color="auto" w:fill="auto"/>
            <w:vAlign w:val="center"/>
          </w:tcPr>
          <w:p w14:paraId="10279F3D">
            <w:pPr>
              <w:widowControl/>
              <w:jc w:val="center"/>
              <w:rPr>
                <w:rFonts w:ascii="宋体" w:hAnsi="宋体" w:cs="宋体"/>
                <w:kern w:val="0"/>
                <w:sz w:val="18"/>
                <w:szCs w:val="18"/>
              </w:rPr>
            </w:pPr>
            <w:r>
              <w:rPr>
                <w:rFonts w:hint="eastAsia" w:ascii="宋体" w:hAnsi="宋体" w:cs="宋体"/>
                <w:kern w:val="0"/>
                <w:sz w:val="18"/>
                <w:szCs w:val="18"/>
              </w:rPr>
              <w:t>98%</w:t>
            </w:r>
          </w:p>
        </w:tc>
        <w:tc>
          <w:tcPr>
            <w:tcW w:w="1120" w:type="dxa"/>
            <w:tcBorders>
              <w:top w:val="nil"/>
              <w:left w:val="nil"/>
              <w:bottom w:val="single" w:color="auto" w:sz="4" w:space="0"/>
              <w:right w:val="single" w:color="auto" w:sz="4" w:space="0"/>
            </w:tcBorders>
            <w:shd w:val="clear" w:color="auto" w:fill="auto"/>
            <w:vAlign w:val="center"/>
          </w:tcPr>
          <w:p w14:paraId="7764B8CB">
            <w:pPr>
              <w:widowControl/>
              <w:jc w:val="center"/>
              <w:rPr>
                <w:rFonts w:ascii="宋体" w:hAnsi="宋体" w:cs="宋体"/>
                <w:kern w:val="0"/>
                <w:sz w:val="18"/>
                <w:szCs w:val="18"/>
              </w:rPr>
            </w:pPr>
            <w:r>
              <w:rPr>
                <w:rFonts w:hint="eastAsia" w:ascii="宋体" w:hAnsi="宋体" w:cs="宋体"/>
                <w:kern w:val="0"/>
                <w:sz w:val="18"/>
                <w:szCs w:val="18"/>
              </w:rPr>
              <w:t>98%</w:t>
            </w:r>
          </w:p>
        </w:tc>
        <w:tc>
          <w:tcPr>
            <w:tcW w:w="780" w:type="dxa"/>
            <w:tcBorders>
              <w:top w:val="nil"/>
              <w:left w:val="nil"/>
              <w:bottom w:val="single" w:color="auto" w:sz="4" w:space="0"/>
              <w:right w:val="single" w:color="auto" w:sz="4" w:space="0"/>
            </w:tcBorders>
            <w:shd w:val="clear" w:color="auto" w:fill="auto"/>
            <w:vAlign w:val="center"/>
          </w:tcPr>
          <w:p w14:paraId="77C445C9">
            <w:pPr>
              <w:widowControl/>
              <w:jc w:val="center"/>
              <w:rPr>
                <w:rFonts w:ascii="宋体" w:hAnsi="宋体" w:cs="宋体"/>
                <w:kern w:val="0"/>
                <w:sz w:val="18"/>
                <w:szCs w:val="18"/>
              </w:rPr>
            </w:pPr>
            <w:r>
              <w:rPr>
                <w:rFonts w:hint="eastAsia" w:ascii="宋体" w:hAnsi="宋体" w:cs="宋体"/>
                <w:kern w:val="0"/>
                <w:sz w:val="18"/>
                <w:szCs w:val="18"/>
              </w:rPr>
              <w:t>100%</w:t>
            </w:r>
          </w:p>
        </w:tc>
        <w:tc>
          <w:tcPr>
            <w:tcW w:w="700" w:type="dxa"/>
            <w:tcBorders>
              <w:top w:val="nil"/>
              <w:left w:val="nil"/>
              <w:bottom w:val="single" w:color="auto" w:sz="4" w:space="0"/>
              <w:right w:val="single" w:color="auto" w:sz="4" w:space="0"/>
            </w:tcBorders>
            <w:shd w:val="clear" w:color="auto" w:fill="auto"/>
            <w:vAlign w:val="center"/>
          </w:tcPr>
          <w:p w14:paraId="51A98A68">
            <w:pPr>
              <w:widowControl/>
              <w:jc w:val="left"/>
              <w:rPr>
                <w:rFonts w:ascii="宋体" w:hAnsi="宋体" w:cs="宋体"/>
                <w:kern w:val="0"/>
                <w:sz w:val="18"/>
                <w:szCs w:val="18"/>
              </w:rPr>
            </w:pPr>
            <w:r>
              <w:rPr>
                <w:rFonts w:hint="eastAsia" w:ascii="宋体" w:hAnsi="宋体" w:cs="宋体"/>
                <w:kern w:val="0"/>
                <w:sz w:val="18"/>
                <w:szCs w:val="18"/>
              </w:rPr>
              <w:t>　</w:t>
            </w:r>
          </w:p>
        </w:tc>
      </w:tr>
    </w:tbl>
    <w:p w14:paraId="0E2E1AD1">
      <w:pPr>
        <w:pStyle w:val="2"/>
        <w:spacing w:before="93"/>
        <w:rPr>
          <w:rFonts w:hint="eastAsia"/>
        </w:rPr>
      </w:pPr>
    </w:p>
    <w:p w14:paraId="5B834BCB">
      <w:pPr>
        <w:pStyle w:val="2"/>
        <w:spacing w:before="93"/>
        <w:rPr>
          <w:rFonts w:hint="eastAsia"/>
        </w:rPr>
      </w:pPr>
    </w:p>
    <w:p w14:paraId="7954B12B">
      <w:pPr>
        <w:pStyle w:val="2"/>
        <w:spacing w:before="93"/>
        <w:rPr>
          <w:rFonts w:hint="eastAsia"/>
        </w:rPr>
      </w:pPr>
    </w:p>
    <w:p w14:paraId="5AD65A44">
      <w:pPr>
        <w:pStyle w:val="2"/>
        <w:spacing w:before="93"/>
        <w:rPr>
          <w:rFonts w:hint="eastAsia"/>
        </w:rPr>
      </w:pPr>
    </w:p>
    <w:p w14:paraId="55D796E2">
      <w:pPr>
        <w:pStyle w:val="2"/>
        <w:spacing w:before="93"/>
        <w:rPr>
          <w:rFonts w:hint="eastAsia"/>
        </w:rPr>
      </w:pPr>
    </w:p>
    <w:p w14:paraId="029B630B">
      <w:pPr>
        <w:pStyle w:val="2"/>
        <w:spacing w:before="93"/>
        <w:rPr>
          <w:rFonts w:hint="eastAsia"/>
        </w:rPr>
      </w:pPr>
    </w:p>
    <w:p w14:paraId="41756E33">
      <w:pPr>
        <w:pStyle w:val="2"/>
        <w:spacing w:before="93"/>
        <w:rPr>
          <w:rFonts w:hint="eastAsia"/>
        </w:rPr>
      </w:pPr>
    </w:p>
    <w:p w14:paraId="10C55634">
      <w:pPr>
        <w:pStyle w:val="2"/>
        <w:spacing w:before="93"/>
        <w:rPr>
          <w:rFonts w:hint="eastAsia"/>
        </w:rPr>
      </w:pPr>
    </w:p>
    <w:p w14:paraId="773D0566">
      <w:pPr>
        <w:pStyle w:val="2"/>
        <w:spacing w:before="93"/>
        <w:rPr>
          <w:rFonts w:hint="eastAsia"/>
        </w:rPr>
      </w:pPr>
    </w:p>
    <w:p w14:paraId="2D7CCDDF">
      <w:pPr>
        <w:pStyle w:val="2"/>
        <w:spacing w:before="93"/>
        <w:rPr>
          <w:rFonts w:hint="eastAsia"/>
        </w:rPr>
      </w:pPr>
    </w:p>
    <w:p w14:paraId="0D7C6CFF">
      <w:pPr>
        <w:pStyle w:val="2"/>
        <w:spacing w:before="93"/>
        <w:rPr>
          <w:rFonts w:hint="eastAsia"/>
        </w:rPr>
      </w:pPr>
    </w:p>
    <w:p w14:paraId="12EC1C7A">
      <w:pPr>
        <w:pStyle w:val="2"/>
        <w:spacing w:before="93"/>
        <w:rPr>
          <w:rFonts w:hint="eastAsia"/>
        </w:rPr>
      </w:pPr>
    </w:p>
    <w:p w14:paraId="74CD4C7C">
      <w:pPr>
        <w:pStyle w:val="2"/>
        <w:spacing w:before="93"/>
        <w:rPr>
          <w:rFonts w:hint="eastAsia"/>
        </w:rPr>
      </w:pPr>
    </w:p>
    <w:p w14:paraId="607FC261">
      <w:pPr>
        <w:pStyle w:val="2"/>
        <w:spacing w:before="93"/>
        <w:rPr>
          <w:rFonts w:hint="eastAsia"/>
        </w:rPr>
      </w:pPr>
    </w:p>
    <w:p w14:paraId="27B2D8EA">
      <w:pPr>
        <w:spacing w:line="600" w:lineRule="exact"/>
        <w:jc w:val="center"/>
        <w:outlineLvl w:val="0"/>
        <w:rPr>
          <w:rFonts w:hint="eastAsia" w:eastAsia="黑体"/>
          <w:sz w:val="44"/>
          <w:szCs w:val="44"/>
        </w:rPr>
      </w:pPr>
    </w:p>
    <w:p w14:paraId="6DFB2A4D">
      <w:pPr>
        <w:spacing w:line="600" w:lineRule="exact"/>
        <w:jc w:val="center"/>
        <w:outlineLvl w:val="0"/>
        <w:rPr>
          <w:rFonts w:eastAsia="仿宋"/>
        </w:rPr>
      </w:pPr>
      <w:r>
        <w:rPr>
          <w:rFonts w:eastAsia="黑体"/>
          <w:sz w:val="44"/>
          <w:szCs w:val="44"/>
        </w:rPr>
        <w:t>第</w:t>
      </w:r>
      <w:r>
        <w:rPr>
          <w:rStyle w:val="25"/>
          <w:rFonts w:eastAsia="黑体"/>
          <w:b w:val="0"/>
        </w:rPr>
        <w:t>五部分 附表</w:t>
      </w:r>
      <w:bookmarkEnd w:id="61"/>
      <w:bookmarkEnd w:id="63"/>
      <w:bookmarkStart w:id="64" w:name="_Toc15396619"/>
    </w:p>
    <w:p w14:paraId="4806F306">
      <w:pPr>
        <w:pStyle w:val="4"/>
        <w:rPr>
          <w:rFonts w:ascii="Times New Roman" w:hAnsi="Times New Roman" w:eastAsia="仿宋" w:cs="Times New Roman"/>
        </w:rPr>
      </w:pPr>
      <w:r>
        <w:rPr>
          <w:rFonts w:ascii="Times New Roman" w:hAnsi="Times New Roman" w:eastAsia="仿宋" w:cs="Times New Roman"/>
          <w:b w:val="0"/>
        </w:rPr>
        <w:t>一、收</w:t>
      </w:r>
      <w:r>
        <w:rPr>
          <w:rStyle w:val="26"/>
          <w:rFonts w:ascii="Times New Roman" w:hAnsi="Times New Roman" w:eastAsia="仿宋" w:cs="Times New Roman"/>
          <w:b w:val="0"/>
          <w:bCs w:val="0"/>
        </w:rPr>
        <w:t>入支出决算总表</w:t>
      </w:r>
      <w:bookmarkEnd w:id="64"/>
    </w:p>
    <w:p w14:paraId="3612CC38">
      <w:pPr>
        <w:pStyle w:val="4"/>
        <w:rPr>
          <w:rFonts w:ascii="Times New Roman" w:hAnsi="Times New Roman" w:eastAsia="仿宋" w:cs="Times New Roman"/>
        </w:rPr>
      </w:pPr>
      <w:bookmarkStart w:id="65" w:name="_Toc15396620"/>
      <w:r>
        <w:rPr>
          <w:rFonts w:ascii="Times New Roman" w:hAnsi="Times New Roman" w:eastAsia="仿宋" w:cs="Times New Roman"/>
          <w:b w:val="0"/>
        </w:rPr>
        <w:t>二、收</w:t>
      </w:r>
      <w:r>
        <w:rPr>
          <w:rStyle w:val="26"/>
          <w:rFonts w:ascii="Times New Roman" w:hAnsi="Times New Roman" w:eastAsia="仿宋" w:cs="Times New Roman"/>
          <w:b w:val="0"/>
          <w:bCs w:val="0"/>
        </w:rPr>
        <w:t>入决算表</w:t>
      </w:r>
      <w:bookmarkEnd w:id="65"/>
    </w:p>
    <w:p w14:paraId="4EE182DC">
      <w:pPr>
        <w:pStyle w:val="4"/>
        <w:rPr>
          <w:rFonts w:ascii="Times New Roman" w:hAnsi="Times New Roman" w:eastAsia="仿宋" w:cs="Times New Roman"/>
        </w:rPr>
      </w:pPr>
      <w:bookmarkStart w:id="66" w:name="_Toc15396621"/>
      <w:r>
        <w:rPr>
          <w:rStyle w:val="26"/>
          <w:rFonts w:ascii="Times New Roman" w:hAnsi="Times New Roman" w:eastAsia="仿宋" w:cs="Times New Roman"/>
          <w:b w:val="0"/>
          <w:bCs w:val="0"/>
        </w:rPr>
        <w:t>三、</w:t>
      </w:r>
      <w:r>
        <w:rPr>
          <w:rFonts w:ascii="Times New Roman" w:hAnsi="Times New Roman" w:eastAsia="仿宋" w:cs="Times New Roman"/>
          <w:b w:val="0"/>
        </w:rPr>
        <w:t>支</w:t>
      </w:r>
      <w:r>
        <w:rPr>
          <w:rStyle w:val="26"/>
          <w:rFonts w:ascii="Times New Roman" w:hAnsi="Times New Roman" w:eastAsia="仿宋" w:cs="Times New Roman"/>
          <w:b w:val="0"/>
          <w:bCs w:val="0"/>
        </w:rPr>
        <w:t>出决算表</w:t>
      </w:r>
      <w:bookmarkEnd w:id="66"/>
    </w:p>
    <w:p w14:paraId="0487C5CC">
      <w:pPr>
        <w:pStyle w:val="4"/>
        <w:rPr>
          <w:rFonts w:ascii="Times New Roman" w:hAnsi="Times New Roman" w:eastAsia="仿宋" w:cs="Times New Roman"/>
          <w:b w:val="0"/>
        </w:rPr>
      </w:pPr>
      <w:bookmarkStart w:id="67" w:name="_Toc15396622"/>
      <w:r>
        <w:rPr>
          <w:rStyle w:val="26"/>
          <w:rFonts w:ascii="Times New Roman" w:hAnsi="Times New Roman" w:eastAsia="仿宋" w:cs="Times New Roman"/>
          <w:b w:val="0"/>
          <w:bCs w:val="0"/>
        </w:rPr>
        <w:t>四、</w:t>
      </w:r>
      <w:r>
        <w:rPr>
          <w:rFonts w:ascii="Times New Roman" w:hAnsi="Times New Roman" w:eastAsia="仿宋" w:cs="Times New Roman"/>
          <w:b w:val="0"/>
        </w:rPr>
        <w:t>财</w:t>
      </w:r>
      <w:r>
        <w:rPr>
          <w:rStyle w:val="26"/>
          <w:rFonts w:ascii="Times New Roman" w:hAnsi="Times New Roman" w:eastAsia="仿宋" w:cs="Times New Roman"/>
          <w:b w:val="0"/>
          <w:bCs w:val="0"/>
        </w:rPr>
        <w:t>政拨款收入支出决算总表</w:t>
      </w:r>
      <w:bookmarkEnd w:id="67"/>
    </w:p>
    <w:p w14:paraId="48B87BE3">
      <w:pPr>
        <w:pStyle w:val="4"/>
        <w:rPr>
          <w:rStyle w:val="26"/>
          <w:rFonts w:ascii="Times New Roman" w:hAnsi="Times New Roman" w:eastAsia="仿宋" w:cs="Times New Roman"/>
          <w:b w:val="0"/>
          <w:bCs w:val="0"/>
        </w:rPr>
      </w:pPr>
      <w:bookmarkStart w:id="68" w:name="_Toc15396623"/>
      <w:r>
        <w:rPr>
          <w:rStyle w:val="26"/>
          <w:rFonts w:ascii="Times New Roman" w:hAnsi="Times New Roman" w:eastAsia="仿宋" w:cs="Times New Roman"/>
          <w:b w:val="0"/>
          <w:bCs w:val="0"/>
        </w:rPr>
        <w:t>五、</w:t>
      </w:r>
      <w:r>
        <w:rPr>
          <w:rFonts w:ascii="Times New Roman" w:hAnsi="Times New Roman" w:eastAsia="仿宋" w:cs="Times New Roman"/>
          <w:b w:val="0"/>
        </w:rPr>
        <w:t>财</w:t>
      </w:r>
      <w:r>
        <w:rPr>
          <w:rStyle w:val="26"/>
          <w:rFonts w:ascii="Times New Roman" w:hAnsi="Times New Roman" w:eastAsia="仿宋" w:cs="Times New Roman"/>
          <w:b w:val="0"/>
          <w:bCs w:val="0"/>
        </w:rPr>
        <w:t>政拨款支出决算明细表</w:t>
      </w:r>
      <w:bookmarkEnd w:id="68"/>
      <w:bookmarkStart w:id="69" w:name="_Toc15396624"/>
    </w:p>
    <w:p w14:paraId="315DCDB0">
      <w:pPr>
        <w:pStyle w:val="4"/>
        <w:rPr>
          <w:rFonts w:ascii="Times New Roman" w:hAnsi="Times New Roman" w:eastAsia="仿宋" w:cs="Times New Roman"/>
        </w:rPr>
      </w:pPr>
      <w:r>
        <w:rPr>
          <w:rStyle w:val="26"/>
          <w:rFonts w:ascii="Times New Roman" w:hAnsi="Times New Roman" w:eastAsia="仿宋" w:cs="Times New Roman"/>
          <w:b w:val="0"/>
          <w:bCs w:val="0"/>
        </w:rPr>
        <w:t>六、</w:t>
      </w:r>
      <w:r>
        <w:rPr>
          <w:rFonts w:ascii="Times New Roman" w:hAnsi="Times New Roman" w:eastAsia="仿宋" w:cs="Times New Roman"/>
          <w:b w:val="0"/>
        </w:rPr>
        <w:t>一</w:t>
      </w:r>
      <w:r>
        <w:rPr>
          <w:rStyle w:val="26"/>
          <w:rFonts w:ascii="Times New Roman" w:hAnsi="Times New Roman" w:eastAsia="仿宋" w:cs="Times New Roman"/>
          <w:b w:val="0"/>
          <w:bCs w:val="0"/>
        </w:rPr>
        <w:t>般公共预算财政拨款支出决算表</w:t>
      </w:r>
      <w:bookmarkEnd w:id="69"/>
    </w:p>
    <w:p w14:paraId="526C1E7B">
      <w:pPr>
        <w:pStyle w:val="4"/>
        <w:rPr>
          <w:rFonts w:ascii="Times New Roman" w:hAnsi="Times New Roman" w:eastAsia="仿宋" w:cs="Times New Roman"/>
        </w:rPr>
      </w:pPr>
      <w:bookmarkStart w:id="70" w:name="_Toc15396625"/>
      <w:r>
        <w:rPr>
          <w:rStyle w:val="26"/>
          <w:rFonts w:ascii="Times New Roman" w:hAnsi="Times New Roman" w:eastAsia="仿宋" w:cs="Times New Roman"/>
          <w:b w:val="0"/>
          <w:bCs w:val="0"/>
        </w:rPr>
        <w:t>七、</w:t>
      </w:r>
      <w:r>
        <w:rPr>
          <w:rFonts w:ascii="Times New Roman" w:hAnsi="Times New Roman" w:eastAsia="仿宋" w:cs="Times New Roman"/>
          <w:b w:val="0"/>
        </w:rPr>
        <w:t>一</w:t>
      </w:r>
      <w:r>
        <w:rPr>
          <w:rStyle w:val="26"/>
          <w:rFonts w:ascii="Times New Roman" w:hAnsi="Times New Roman" w:eastAsia="仿宋" w:cs="Times New Roman"/>
          <w:b w:val="0"/>
          <w:bCs w:val="0"/>
        </w:rPr>
        <w:t>般公共预算财政拨款支出决算明细表</w:t>
      </w:r>
      <w:bookmarkEnd w:id="70"/>
    </w:p>
    <w:p w14:paraId="475E7F4E">
      <w:pPr>
        <w:pStyle w:val="4"/>
        <w:rPr>
          <w:rFonts w:ascii="Times New Roman" w:hAnsi="Times New Roman" w:eastAsia="仿宋" w:cs="Times New Roman"/>
        </w:rPr>
      </w:pPr>
      <w:bookmarkStart w:id="71" w:name="_Toc15396626"/>
      <w:r>
        <w:rPr>
          <w:rStyle w:val="26"/>
          <w:rFonts w:ascii="Times New Roman" w:hAnsi="Times New Roman" w:eastAsia="仿宋" w:cs="Times New Roman"/>
          <w:b w:val="0"/>
          <w:bCs w:val="0"/>
        </w:rPr>
        <w:t>八、</w:t>
      </w:r>
      <w:r>
        <w:rPr>
          <w:rFonts w:ascii="Times New Roman" w:hAnsi="Times New Roman" w:eastAsia="仿宋" w:cs="Times New Roman"/>
          <w:b w:val="0"/>
        </w:rPr>
        <w:t>一</w:t>
      </w:r>
      <w:r>
        <w:rPr>
          <w:rStyle w:val="26"/>
          <w:rFonts w:ascii="Times New Roman" w:hAnsi="Times New Roman" w:eastAsia="仿宋" w:cs="Times New Roman"/>
          <w:b w:val="0"/>
          <w:bCs w:val="0"/>
        </w:rPr>
        <w:t>般公共预算财政拨款基本支出决算表</w:t>
      </w:r>
      <w:bookmarkEnd w:id="71"/>
    </w:p>
    <w:p w14:paraId="799D8B4B">
      <w:pPr>
        <w:pStyle w:val="4"/>
        <w:rPr>
          <w:rFonts w:ascii="Times New Roman" w:hAnsi="Times New Roman" w:eastAsia="仿宋" w:cs="Times New Roman"/>
        </w:rPr>
      </w:pPr>
      <w:bookmarkStart w:id="72" w:name="_Toc15396627"/>
      <w:r>
        <w:rPr>
          <w:rStyle w:val="26"/>
          <w:rFonts w:ascii="Times New Roman" w:hAnsi="Times New Roman" w:eastAsia="仿宋" w:cs="Times New Roman"/>
          <w:b w:val="0"/>
          <w:bCs w:val="0"/>
        </w:rPr>
        <w:t>九、</w:t>
      </w:r>
      <w:r>
        <w:rPr>
          <w:rFonts w:ascii="Times New Roman" w:hAnsi="Times New Roman" w:eastAsia="仿宋" w:cs="Times New Roman"/>
          <w:b w:val="0"/>
        </w:rPr>
        <w:t>一</w:t>
      </w:r>
      <w:r>
        <w:rPr>
          <w:rStyle w:val="26"/>
          <w:rFonts w:ascii="Times New Roman" w:hAnsi="Times New Roman" w:eastAsia="仿宋" w:cs="Times New Roman"/>
          <w:b w:val="0"/>
          <w:bCs w:val="0"/>
        </w:rPr>
        <w:t>般公共预算财政拨款项目支出决算表</w:t>
      </w:r>
      <w:bookmarkEnd w:id="72"/>
    </w:p>
    <w:p w14:paraId="2AB4170B">
      <w:pPr>
        <w:pStyle w:val="4"/>
        <w:rPr>
          <w:rFonts w:ascii="Times New Roman" w:hAnsi="Times New Roman" w:eastAsia="仿宋" w:cs="Times New Roman"/>
        </w:rPr>
      </w:pPr>
      <w:bookmarkStart w:id="73" w:name="_Toc15396628"/>
      <w:r>
        <w:rPr>
          <w:rStyle w:val="26"/>
          <w:rFonts w:ascii="Times New Roman" w:hAnsi="Times New Roman" w:eastAsia="仿宋" w:cs="Times New Roman"/>
          <w:b w:val="0"/>
          <w:bCs w:val="0"/>
        </w:rPr>
        <w:t>十、</w:t>
      </w:r>
      <w:r>
        <w:rPr>
          <w:rFonts w:ascii="Times New Roman" w:hAnsi="Times New Roman" w:eastAsia="仿宋" w:cs="Times New Roman"/>
          <w:b w:val="0"/>
        </w:rPr>
        <w:t>一</w:t>
      </w:r>
      <w:r>
        <w:rPr>
          <w:rStyle w:val="26"/>
          <w:rFonts w:ascii="Times New Roman" w:hAnsi="Times New Roman" w:eastAsia="仿宋" w:cs="Times New Roman"/>
          <w:b w:val="0"/>
          <w:bCs w:val="0"/>
        </w:rPr>
        <w:t>般公共预算财政拨款“三公”经费支出决算表</w:t>
      </w:r>
      <w:bookmarkEnd w:id="73"/>
    </w:p>
    <w:p w14:paraId="50252627">
      <w:pPr>
        <w:pStyle w:val="4"/>
        <w:rPr>
          <w:rFonts w:ascii="Times New Roman" w:hAnsi="Times New Roman" w:eastAsia="仿宋" w:cs="Times New Roman"/>
        </w:rPr>
      </w:pPr>
      <w:bookmarkStart w:id="74" w:name="_Toc15396629"/>
      <w:r>
        <w:rPr>
          <w:rStyle w:val="26"/>
          <w:rFonts w:ascii="Times New Roman" w:hAnsi="Times New Roman" w:eastAsia="仿宋" w:cs="Times New Roman"/>
          <w:b w:val="0"/>
          <w:bCs w:val="0"/>
        </w:rPr>
        <w:t>十一、</w:t>
      </w:r>
      <w:r>
        <w:rPr>
          <w:rFonts w:ascii="Times New Roman" w:hAnsi="Times New Roman" w:eastAsia="仿宋" w:cs="Times New Roman"/>
          <w:b w:val="0"/>
        </w:rPr>
        <w:t>政</w:t>
      </w:r>
      <w:r>
        <w:rPr>
          <w:rStyle w:val="26"/>
          <w:rFonts w:ascii="Times New Roman" w:hAnsi="Times New Roman" w:eastAsia="仿宋" w:cs="Times New Roman"/>
          <w:b w:val="0"/>
          <w:bCs w:val="0"/>
        </w:rPr>
        <w:t>府性基金预算财政拨款收入支出决算表</w:t>
      </w:r>
      <w:bookmarkEnd w:id="74"/>
    </w:p>
    <w:p w14:paraId="3F680914">
      <w:pPr>
        <w:pStyle w:val="4"/>
        <w:rPr>
          <w:rFonts w:ascii="Times New Roman" w:hAnsi="Times New Roman" w:eastAsia="仿宋" w:cs="Times New Roman"/>
        </w:rPr>
      </w:pPr>
      <w:bookmarkStart w:id="75" w:name="_Toc15396630"/>
      <w:r>
        <w:rPr>
          <w:rStyle w:val="26"/>
          <w:rFonts w:ascii="Times New Roman" w:hAnsi="Times New Roman" w:eastAsia="仿宋" w:cs="Times New Roman"/>
          <w:b w:val="0"/>
          <w:bCs w:val="0"/>
        </w:rPr>
        <w:t>十二、</w:t>
      </w:r>
      <w:r>
        <w:rPr>
          <w:rFonts w:ascii="Times New Roman" w:hAnsi="Times New Roman" w:eastAsia="仿宋" w:cs="Times New Roman"/>
          <w:b w:val="0"/>
        </w:rPr>
        <w:t>政</w:t>
      </w:r>
      <w:r>
        <w:rPr>
          <w:rStyle w:val="26"/>
          <w:rFonts w:ascii="Times New Roman" w:hAnsi="Times New Roman" w:eastAsia="仿宋" w:cs="Times New Roman"/>
          <w:b w:val="0"/>
          <w:bCs w:val="0"/>
        </w:rPr>
        <w:t>府性基金预算财政拨款“三公”经费支出决算表</w:t>
      </w:r>
      <w:bookmarkEnd w:id="75"/>
    </w:p>
    <w:p w14:paraId="2772826C">
      <w:pPr>
        <w:pStyle w:val="4"/>
        <w:rPr>
          <w:rStyle w:val="26"/>
          <w:rFonts w:ascii="Times New Roman" w:hAnsi="Times New Roman" w:eastAsia="仿宋" w:cs="Times New Roman"/>
          <w:b w:val="0"/>
          <w:bCs w:val="0"/>
        </w:rPr>
      </w:pPr>
      <w:bookmarkStart w:id="76" w:name="_Toc15396631"/>
      <w:r>
        <w:rPr>
          <w:rStyle w:val="26"/>
          <w:rFonts w:ascii="Times New Roman" w:hAnsi="Times New Roman" w:eastAsia="仿宋" w:cs="Times New Roman"/>
          <w:b w:val="0"/>
          <w:bCs w:val="0"/>
        </w:rPr>
        <w:t>十三、</w:t>
      </w:r>
      <w:r>
        <w:rPr>
          <w:rFonts w:ascii="Times New Roman" w:hAnsi="Times New Roman" w:eastAsia="仿宋" w:cs="Times New Roman"/>
          <w:b w:val="0"/>
        </w:rPr>
        <w:t>国</w:t>
      </w:r>
      <w:r>
        <w:rPr>
          <w:rStyle w:val="26"/>
          <w:rFonts w:ascii="Times New Roman" w:hAnsi="Times New Roman" w:eastAsia="仿宋" w:cs="Times New Roman"/>
          <w:b w:val="0"/>
          <w:bCs w:val="0"/>
        </w:rPr>
        <w:t>有资本经营预算财政拨款收入支出决算表</w:t>
      </w:r>
      <w:bookmarkEnd w:id="76"/>
    </w:p>
    <w:p w14:paraId="06D9CCA2">
      <w:pPr>
        <w:rPr>
          <w:rFonts w:eastAsia="仿宋"/>
        </w:rPr>
      </w:pPr>
      <w:r>
        <w:rPr>
          <w:rStyle w:val="26"/>
          <w:rFonts w:ascii="Times New Roman" w:hAnsi="Times New Roman" w:eastAsia="仿宋" w:cs="Times New Roman"/>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
    <w:altName w:val="Times New Roman"/>
    <w:panose1 w:val="00000000000000000000"/>
    <w:charset w:val="00"/>
    <w:family w:val="roman"/>
    <w:pitch w:val="default"/>
    <w:sig w:usb0="00000000" w:usb1="00000000" w:usb2="00000000" w:usb3="00000000" w:csb0="00040001" w:csb1="00000000"/>
  </w:font>
  <w:font w:name="TimesNewRoman">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howingPlcHdr/>
    </w:sdtPr>
    <w:sdtContent>
      <w:p w14:paraId="36A66B0A">
        <w:pPr>
          <w:pStyle w:val="9"/>
          <w:jc w:val="center"/>
        </w:pPr>
        <w:r>
          <w:t xml:space="preserve">     </w:t>
        </w:r>
      </w:p>
    </w:sdtContent>
  </w:sdt>
  <w:p w14:paraId="31B5DC4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29D4F">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988362E"/>
    <w:multiLevelType w:val="multilevel"/>
    <w:tmpl w:val="1988362E"/>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E794925"/>
    <w:multiLevelType w:val="singleLevel"/>
    <w:tmpl w:val="3E794925"/>
    <w:lvl w:ilvl="0" w:tentative="0">
      <w:start w:val="3"/>
      <w:numFmt w:val="chineseCounting"/>
      <w:suff w:val="nothing"/>
      <w:lvlText w:val="（%1）"/>
      <w:lvlJc w:val="left"/>
      <w:rPr>
        <w:rFonts w:hint="eastAsia"/>
      </w:rPr>
    </w:lvl>
  </w:abstractNum>
  <w:abstractNum w:abstractNumId="5">
    <w:nsid w:val="54FE6CDF"/>
    <w:multiLevelType w:val="multilevel"/>
    <w:tmpl w:val="54FE6CDF"/>
    <w:lvl w:ilvl="0" w:tentative="0">
      <w:start w:val="1"/>
      <w:numFmt w:val="japaneseCounting"/>
      <w:lvlText w:val="（%1）"/>
      <w:lvlJc w:val="left"/>
      <w:pPr>
        <w:ind w:left="1647" w:hanging="108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6"/>
  </w:num>
  <w:num w:numId="2">
    <w:abstractNumId w:val="2"/>
  </w:num>
  <w:num w:numId="3">
    <w:abstractNumId w:val="0"/>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0631"/>
    <w:rsid w:val="00011423"/>
    <w:rsid w:val="000222C6"/>
    <w:rsid w:val="0002549F"/>
    <w:rsid w:val="00040A85"/>
    <w:rsid w:val="000468DB"/>
    <w:rsid w:val="0006487A"/>
    <w:rsid w:val="00065F8F"/>
    <w:rsid w:val="00070A43"/>
    <w:rsid w:val="000768F2"/>
    <w:rsid w:val="000859CE"/>
    <w:rsid w:val="0009184B"/>
    <w:rsid w:val="00094236"/>
    <w:rsid w:val="0009593C"/>
    <w:rsid w:val="00097322"/>
    <w:rsid w:val="000A6A92"/>
    <w:rsid w:val="000B047F"/>
    <w:rsid w:val="000B5923"/>
    <w:rsid w:val="000B5A48"/>
    <w:rsid w:val="000B6FF3"/>
    <w:rsid w:val="000C0570"/>
    <w:rsid w:val="000C3467"/>
    <w:rsid w:val="000C3CA6"/>
    <w:rsid w:val="000D1267"/>
    <w:rsid w:val="000D1D50"/>
    <w:rsid w:val="000D5782"/>
    <w:rsid w:val="000E6613"/>
    <w:rsid w:val="000E7119"/>
    <w:rsid w:val="00114E9B"/>
    <w:rsid w:val="00117097"/>
    <w:rsid w:val="00142216"/>
    <w:rsid w:val="00144D6A"/>
    <w:rsid w:val="0014729F"/>
    <w:rsid w:val="00157BAB"/>
    <w:rsid w:val="001654D1"/>
    <w:rsid w:val="001666C9"/>
    <w:rsid w:val="00167ACF"/>
    <w:rsid w:val="00170382"/>
    <w:rsid w:val="00174518"/>
    <w:rsid w:val="0018106D"/>
    <w:rsid w:val="001877A7"/>
    <w:rsid w:val="00191536"/>
    <w:rsid w:val="00196687"/>
    <w:rsid w:val="001A018A"/>
    <w:rsid w:val="001A7A8F"/>
    <w:rsid w:val="001C0962"/>
    <w:rsid w:val="001D06AC"/>
    <w:rsid w:val="001D5F57"/>
    <w:rsid w:val="001D7531"/>
    <w:rsid w:val="001E737D"/>
    <w:rsid w:val="001F0592"/>
    <w:rsid w:val="001F7506"/>
    <w:rsid w:val="002006CD"/>
    <w:rsid w:val="00202B36"/>
    <w:rsid w:val="00204822"/>
    <w:rsid w:val="00204B7A"/>
    <w:rsid w:val="00204CDE"/>
    <w:rsid w:val="0021101A"/>
    <w:rsid w:val="00220536"/>
    <w:rsid w:val="00235629"/>
    <w:rsid w:val="00237527"/>
    <w:rsid w:val="00244A0D"/>
    <w:rsid w:val="00260C38"/>
    <w:rsid w:val="002616C0"/>
    <w:rsid w:val="00265372"/>
    <w:rsid w:val="002662AA"/>
    <w:rsid w:val="002759D3"/>
    <w:rsid w:val="00280496"/>
    <w:rsid w:val="00286844"/>
    <w:rsid w:val="00290F81"/>
    <w:rsid w:val="00294DC9"/>
    <w:rsid w:val="00295495"/>
    <w:rsid w:val="0029671D"/>
    <w:rsid w:val="002A0834"/>
    <w:rsid w:val="002A0AD1"/>
    <w:rsid w:val="002A31DE"/>
    <w:rsid w:val="002B2613"/>
    <w:rsid w:val="002C278E"/>
    <w:rsid w:val="002C7278"/>
    <w:rsid w:val="002D6D05"/>
    <w:rsid w:val="002E527D"/>
    <w:rsid w:val="002F1818"/>
    <w:rsid w:val="002F567B"/>
    <w:rsid w:val="002F6AF6"/>
    <w:rsid w:val="00305C69"/>
    <w:rsid w:val="00312592"/>
    <w:rsid w:val="0032121C"/>
    <w:rsid w:val="003216A9"/>
    <w:rsid w:val="00335A74"/>
    <w:rsid w:val="0035716F"/>
    <w:rsid w:val="0036561B"/>
    <w:rsid w:val="0037013F"/>
    <w:rsid w:val="00380C92"/>
    <w:rsid w:val="003A3F88"/>
    <w:rsid w:val="003A484F"/>
    <w:rsid w:val="003A4883"/>
    <w:rsid w:val="003B0BE0"/>
    <w:rsid w:val="003B0C1B"/>
    <w:rsid w:val="003B688C"/>
    <w:rsid w:val="003C0291"/>
    <w:rsid w:val="003C39AE"/>
    <w:rsid w:val="003C7B60"/>
    <w:rsid w:val="003C7EDD"/>
    <w:rsid w:val="003D0C0F"/>
    <w:rsid w:val="003D1FB2"/>
    <w:rsid w:val="003D556A"/>
    <w:rsid w:val="003D66DA"/>
    <w:rsid w:val="003E1310"/>
    <w:rsid w:val="003E6F55"/>
    <w:rsid w:val="00406254"/>
    <w:rsid w:val="00407161"/>
    <w:rsid w:val="004223DE"/>
    <w:rsid w:val="00434489"/>
    <w:rsid w:val="00437085"/>
    <w:rsid w:val="0043773A"/>
    <w:rsid w:val="00443880"/>
    <w:rsid w:val="004464F4"/>
    <w:rsid w:val="00460372"/>
    <w:rsid w:val="00467BDE"/>
    <w:rsid w:val="00471401"/>
    <w:rsid w:val="00473F31"/>
    <w:rsid w:val="0048263A"/>
    <w:rsid w:val="00487E5D"/>
    <w:rsid w:val="004A711F"/>
    <w:rsid w:val="004B199D"/>
    <w:rsid w:val="004B4690"/>
    <w:rsid w:val="004E0A2D"/>
    <w:rsid w:val="004E206B"/>
    <w:rsid w:val="004E6DF7"/>
    <w:rsid w:val="004F0FBD"/>
    <w:rsid w:val="004F3360"/>
    <w:rsid w:val="00505A47"/>
    <w:rsid w:val="00512FDA"/>
    <w:rsid w:val="00515199"/>
    <w:rsid w:val="00520DA0"/>
    <w:rsid w:val="00540D9D"/>
    <w:rsid w:val="00544A9B"/>
    <w:rsid w:val="00546415"/>
    <w:rsid w:val="005664BB"/>
    <w:rsid w:val="00566FFA"/>
    <w:rsid w:val="0057481D"/>
    <w:rsid w:val="0058486E"/>
    <w:rsid w:val="00585B33"/>
    <w:rsid w:val="0059014D"/>
    <w:rsid w:val="0059652E"/>
    <w:rsid w:val="005B5C64"/>
    <w:rsid w:val="005C5337"/>
    <w:rsid w:val="005C6BD0"/>
    <w:rsid w:val="005D1C8B"/>
    <w:rsid w:val="005D468D"/>
    <w:rsid w:val="005D5CED"/>
    <w:rsid w:val="005F0A41"/>
    <w:rsid w:val="005F1A4C"/>
    <w:rsid w:val="00605688"/>
    <w:rsid w:val="0060659B"/>
    <w:rsid w:val="006070AF"/>
    <w:rsid w:val="00607E6C"/>
    <w:rsid w:val="006101B1"/>
    <w:rsid w:val="00614E44"/>
    <w:rsid w:val="00617068"/>
    <w:rsid w:val="0062270A"/>
    <w:rsid w:val="00622830"/>
    <w:rsid w:val="00623DA0"/>
    <w:rsid w:val="00630AEF"/>
    <w:rsid w:val="006325F8"/>
    <w:rsid w:val="00633463"/>
    <w:rsid w:val="00634C9A"/>
    <w:rsid w:val="006440E4"/>
    <w:rsid w:val="00645A5A"/>
    <w:rsid w:val="0066343B"/>
    <w:rsid w:val="00664777"/>
    <w:rsid w:val="00665638"/>
    <w:rsid w:val="00665DF6"/>
    <w:rsid w:val="006748A4"/>
    <w:rsid w:val="00681A31"/>
    <w:rsid w:val="00683E73"/>
    <w:rsid w:val="006A3141"/>
    <w:rsid w:val="006A38DC"/>
    <w:rsid w:val="006A5B97"/>
    <w:rsid w:val="006A5E34"/>
    <w:rsid w:val="006B2422"/>
    <w:rsid w:val="006B2B9A"/>
    <w:rsid w:val="006B2EEB"/>
    <w:rsid w:val="006C1937"/>
    <w:rsid w:val="006C27F0"/>
    <w:rsid w:val="006D088A"/>
    <w:rsid w:val="006E1077"/>
    <w:rsid w:val="006E17D6"/>
    <w:rsid w:val="006F020C"/>
    <w:rsid w:val="006F0D6E"/>
    <w:rsid w:val="007127B7"/>
    <w:rsid w:val="0071798E"/>
    <w:rsid w:val="0073610F"/>
    <w:rsid w:val="007416B6"/>
    <w:rsid w:val="00746F48"/>
    <w:rsid w:val="007535A6"/>
    <w:rsid w:val="0075404D"/>
    <w:rsid w:val="007573F8"/>
    <w:rsid w:val="0076182A"/>
    <w:rsid w:val="00767B7E"/>
    <w:rsid w:val="00774A10"/>
    <w:rsid w:val="007770C3"/>
    <w:rsid w:val="00784D24"/>
    <w:rsid w:val="00785FBA"/>
    <w:rsid w:val="00786E4A"/>
    <w:rsid w:val="007875EB"/>
    <w:rsid w:val="00792C72"/>
    <w:rsid w:val="0079426B"/>
    <w:rsid w:val="007D1682"/>
    <w:rsid w:val="007D312A"/>
    <w:rsid w:val="007D3F19"/>
    <w:rsid w:val="007D620C"/>
    <w:rsid w:val="007E23B0"/>
    <w:rsid w:val="007E23E5"/>
    <w:rsid w:val="007F1991"/>
    <w:rsid w:val="007F1D3F"/>
    <w:rsid w:val="007F2C2F"/>
    <w:rsid w:val="007F55FC"/>
    <w:rsid w:val="007F5665"/>
    <w:rsid w:val="00800112"/>
    <w:rsid w:val="00807BFE"/>
    <w:rsid w:val="00813348"/>
    <w:rsid w:val="008212D9"/>
    <w:rsid w:val="008253BB"/>
    <w:rsid w:val="00827672"/>
    <w:rsid w:val="00833176"/>
    <w:rsid w:val="0083706E"/>
    <w:rsid w:val="008408F6"/>
    <w:rsid w:val="008423A5"/>
    <w:rsid w:val="00850625"/>
    <w:rsid w:val="00853718"/>
    <w:rsid w:val="00855221"/>
    <w:rsid w:val="00860645"/>
    <w:rsid w:val="00871F71"/>
    <w:rsid w:val="00872FD8"/>
    <w:rsid w:val="0087737D"/>
    <w:rsid w:val="00881C24"/>
    <w:rsid w:val="00885AF4"/>
    <w:rsid w:val="00891AA7"/>
    <w:rsid w:val="008939CD"/>
    <w:rsid w:val="008A1F14"/>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959"/>
    <w:rsid w:val="00935C98"/>
    <w:rsid w:val="00946945"/>
    <w:rsid w:val="00951248"/>
    <w:rsid w:val="0095152F"/>
    <w:rsid w:val="0095487B"/>
    <w:rsid w:val="00954C49"/>
    <w:rsid w:val="00955E37"/>
    <w:rsid w:val="0096718A"/>
    <w:rsid w:val="0097099F"/>
    <w:rsid w:val="00971997"/>
    <w:rsid w:val="00971FFC"/>
    <w:rsid w:val="0098660A"/>
    <w:rsid w:val="0099108C"/>
    <w:rsid w:val="009931C3"/>
    <w:rsid w:val="00996AB3"/>
    <w:rsid w:val="009A3EEE"/>
    <w:rsid w:val="009B0D69"/>
    <w:rsid w:val="009B2C43"/>
    <w:rsid w:val="009B30FB"/>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24DE"/>
    <w:rsid w:val="00A331C8"/>
    <w:rsid w:val="00A40A00"/>
    <w:rsid w:val="00A4142F"/>
    <w:rsid w:val="00A422EB"/>
    <w:rsid w:val="00A45BB7"/>
    <w:rsid w:val="00A56DF2"/>
    <w:rsid w:val="00A56E6E"/>
    <w:rsid w:val="00A67AB5"/>
    <w:rsid w:val="00A733B2"/>
    <w:rsid w:val="00A741C2"/>
    <w:rsid w:val="00A842A8"/>
    <w:rsid w:val="00A849E1"/>
    <w:rsid w:val="00A91760"/>
    <w:rsid w:val="00A9380A"/>
    <w:rsid w:val="00A93B00"/>
    <w:rsid w:val="00A93C21"/>
    <w:rsid w:val="00AA7815"/>
    <w:rsid w:val="00AB64C9"/>
    <w:rsid w:val="00AC3C6A"/>
    <w:rsid w:val="00AD5620"/>
    <w:rsid w:val="00AD656B"/>
    <w:rsid w:val="00AD77F2"/>
    <w:rsid w:val="00AD7C1B"/>
    <w:rsid w:val="00AE0646"/>
    <w:rsid w:val="00AE16BA"/>
    <w:rsid w:val="00AE1EBE"/>
    <w:rsid w:val="00AF0FB8"/>
    <w:rsid w:val="00AF37F3"/>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33D2"/>
    <w:rsid w:val="00B7740E"/>
    <w:rsid w:val="00B77EA6"/>
    <w:rsid w:val="00B81598"/>
    <w:rsid w:val="00B841F1"/>
    <w:rsid w:val="00B944D6"/>
    <w:rsid w:val="00BA4137"/>
    <w:rsid w:val="00BA60E4"/>
    <w:rsid w:val="00BB4DF0"/>
    <w:rsid w:val="00BC289F"/>
    <w:rsid w:val="00BC2D50"/>
    <w:rsid w:val="00BC5361"/>
    <w:rsid w:val="00BC5460"/>
    <w:rsid w:val="00BC6B50"/>
    <w:rsid w:val="00BD0E25"/>
    <w:rsid w:val="00BE1C25"/>
    <w:rsid w:val="00BE5741"/>
    <w:rsid w:val="00BF318C"/>
    <w:rsid w:val="00BF5BD6"/>
    <w:rsid w:val="00C00DAD"/>
    <w:rsid w:val="00C03E31"/>
    <w:rsid w:val="00C06A4E"/>
    <w:rsid w:val="00C16394"/>
    <w:rsid w:val="00C33E72"/>
    <w:rsid w:val="00C354B2"/>
    <w:rsid w:val="00C35554"/>
    <w:rsid w:val="00C417EC"/>
    <w:rsid w:val="00C42709"/>
    <w:rsid w:val="00C533CC"/>
    <w:rsid w:val="00C57406"/>
    <w:rsid w:val="00C5751C"/>
    <w:rsid w:val="00C61B39"/>
    <w:rsid w:val="00C61BFC"/>
    <w:rsid w:val="00C62B85"/>
    <w:rsid w:val="00C65438"/>
    <w:rsid w:val="00C80480"/>
    <w:rsid w:val="00C87FD8"/>
    <w:rsid w:val="00C91381"/>
    <w:rsid w:val="00C91CBB"/>
    <w:rsid w:val="00CB4E70"/>
    <w:rsid w:val="00CC09B6"/>
    <w:rsid w:val="00CC2256"/>
    <w:rsid w:val="00CC666F"/>
    <w:rsid w:val="00CD1E3F"/>
    <w:rsid w:val="00CE44F6"/>
    <w:rsid w:val="00CE49DA"/>
    <w:rsid w:val="00CE7B61"/>
    <w:rsid w:val="00D00095"/>
    <w:rsid w:val="00D079AE"/>
    <w:rsid w:val="00D114F0"/>
    <w:rsid w:val="00D20620"/>
    <w:rsid w:val="00D254F7"/>
    <w:rsid w:val="00D26091"/>
    <w:rsid w:val="00D2685C"/>
    <w:rsid w:val="00D34E7C"/>
    <w:rsid w:val="00D35489"/>
    <w:rsid w:val="00D36AFE"/>
    <w:rsid w:val="00D46C38"/>
    <w:rsid w:val="00D51276"/>
    <w:rsid w:val="00D7035F"/>
    <w:rsid w:val="00DA1F9C"/>
    <w:rsid w:val="00DA5C15"/>
    <w:rsid w:val="00DA634F"/>
    <w:rsid w:val="00DA65AC"/>
    <w:rsid w:val="00DB1913"/>
    <w:rsid w:val="00DC410D"/>
    <w:rsid w:val="00DC5A81"/>
    <w:rsid w:val="00DC68CA"/>
    <w:rsid w:val="00DC7CBA"/>
    <w:rsid w:val="00DD73B7"/>
    <w:rsid w:val="00DF28BC"/>
    <w:rsid w:val="00DF34B9"/>
    <w:rsid w:val="00E01053"/>
    <w:rsid w:val="00E01C12"/>
    <w:rsid w:val="00E07ACF"/>
    <w:rsid w:val="00E07D02"/>
    <w:rsid w:val="00E1285E"/>
    <w:rsid w:val="00E331A1"/>
    <w:rsid w:val="00E33202"/>
    <w:rsid w:val="00E336A9"/>
    <w:rsid w:val="00E472B1"/>
    <w:rsid w:val="00E50624"/>
    <w:rsid w:val="00E568DF"/>
    <w:rsid w:val="00E64269"/>
    <w:rsid w:val="00E82267"/>
    <w:rsid w:val="00E82E9F"/>
    <w:rsid w:val="00E853CE"/>
    <w:rsid w:val="00E867B6"/>
    <w:rsid w:val="00EA010F"/>
    <w:rsid w:val="00EA2658"/>
    <w:rsid w:val="00ED1B63"/>
    <w:rsid w:val="00ED3C1F"/>
    <w:rsid w:val="00ED4085"/>
    <w:rsid w:val="00ED420E"/>
    <w:rsid w:val="00ED6FBE"/>
    <w:rsid w:val="00EE2F57"/>
    <w:rsid w:val="00EF4C34"/>
    <w:rsid w:val="00EF77C6"/>
    <w:rsid w:val="00F05438"/>
    <w:rsid w:val="00F07F2A"/>
    <w:rsid w:val="00F1361C"/>
    <w:rsid w:val="00F156F0"/>
    <w:rsid w:val="00F160C7"/>
    <w:rsid w:val="00F2408F"/>
    <w:rsid w:val="00F240E9"/>
    <w:rsid w:val="00F36D8F"/>
    <w:rsid w:val="00F417B1"/>
    <w:rsid w:val="00F45853"/>
    <w:rsid w:val="00F602DF"/>
    <w:rsid w:val="00F72A5D"/>
    <w:rsid w:val="00F754A1"/>
    <w:rsid w:val="00F81FD9"/>
    <w:rsid w:val="00F841AA"/>
    <w:rsid w:val="00F841F4"/>
    <w:rsid w:val="00F84A94"/>
    <w:rsid w:val="00F87E96"/>
    <w:rsid w:val="00F92733"/>
    <w:rsid w:val="00FA23E8"/>
    <w:rsid w:val="00FD3CC1"/>
    <w:rsid w:val="00FE6ABD"/>
    <w:rsid w:val="00FF1E02"/>
    <w:rsid w:val="00FF30B4"/>
    <w:rsid w:val="066E0107"/>
    <w:rsid w:val="07996F6E"/>
    <w:rsid w:val="0A2032A3"/>
    <w:rsid w:val="101860EC"/>
    <w:rsid w:val="10C055FF"/>
    <w:rsid w:val="118107EC"/>
    <w:rsid w:val="13D50BC4"/>
    <w:rsid w:val="16BB723D"/>
    <w:rsid w:val="1BE8440E"/>
    <w:rsid w:val="1C3E1030"/>
    <w:rsid w:val="1D155CEE"/>
    <w:rsid w:val="23860B96"/>
    <w:rsid w:val="240371BF"/>
    <w:rsid w:val="29FD04D3"/>
    <w:rsid w:val="2C8A61B5"/>
    <w:rsid w:val="2DF04E50"/>
    <w:rsid w:val="319F7F4E"/>
    <w:rsid w:val="36AA5135"/>
    <w:rsid w:val="37E16F03"/>
    <w:rsid w:val="3D98207C"/>
    <w:rsid w:val="44E268DA"/>
    <w:rsid w:val="4A627F82"/>
    <w:rsid w:val="4B4F25DA"/>
    <w:rsid w:val="4BE068DB"/>
    <w:rsid w:val="4D577224"/>
    <w:rsid w:val="4EAB630A"/>
    <w:rsid w:val="4ECE2238"/>
    <w:rsid w:val="5AF92295"/>
    <w:rsid w:val="5CD71FC4"/>
    <w:rsid w:val="6C4A05C8"/>
    <w:rsid w:val="6E7E3605"/>
    <w:rsid w:val="6FF5CC65"/>
    <w:rsid w:val="715C0E4B"/>
    <w:rsid w:val="72734D90"/>
    <w:rsid w:val="73AD73D5"/>
    <w:rsid w:val="73B6EB34"/>
    <w:rsid w:val="79EE5BA4"/>
    <w:rsid w:val="7A894339"/>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link w:val="31"/>
    <w:uiPriority w:val="0"/>
    <w:rPr>
      <w:rFonts w:ascii="宋体" w:hAnsi="Courier New"/>
    </w:r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纯文本 Char"/>
    <w:basedOn w:val="14"/>
    <w:link w:val="7"/>
    <w:uiPriority w:val="0"/>
    <w:rPr>
      <w:rFonts w:ascii="宋体" w:hAnsi="Courier New" w:eastAsia="宋体" w:cs="Times New Roman"/>
      <w:kern w:val="2"/>
      <w:sz w:val="21"/>
      <w:szCs w:val="24"/>
    </w:rPr>
  </w:style>
  <w:style w:type="paragraph" w:customStyle="1" w:styleId="32">
    <w:name w:val="四号正文"/>
    <w:basedOn w:val="1"/>
    <w:link w:val="33"/>
    <w:uiPriority w:val="0"/>
    <w:pPr>
      <w:spacing w:line="360" w:lineRule="auto"/>
    </w:pPr>
    <w:rPr>
      <w:rFonts w:ascii="??" w:hAnsi="??" w:cs="宋体"/>
      <w:color w:val="000000"/>
      <w:kern w:val="0"/>
      <w:sz w:val="28"/>
      <w:szCs w:val="21"/>
    </w:rPr>
  </w:style>
  <w:style w:type="character" w:customStyle="1" w:styleId="33">
    <w:name w:val="四号正文 Char"/>
    <w:link w:val="32"/>
    <w:uiPriority w:val="0"/>
    <w:rPr>
      <w:rFonts w:ascii="??" w:hAnsi="??" w:eastAsia="宋体" w:cs="宋体"/>
      <w:color w:val="000000"/>
      <w:sz w:val="28"/>
      <w:szCs w:val="21"/>
    </w:rPr>
  </w:style>
  <w:style w:type="character" w:customStyle="1" w:styleId="34">
    <w:name w:val="fontstyle01"/>
    <w:qFormat/>
    <w:uiPriority w:val="0"/>
    <w:rPr>
      <w:rFonts w:hint="eastAsia" w:ascii="仿宋_GB2312" w:eastAsia="仿宋_GB2312"/>
      <w:color w:val="000000"/>
      <w:sz w:val="32"/>
      <w:szCs w:val="32"/>
    </w:rPr>
  </w:style>
  <w:style w:type="character" w:customStyle="1" w:styleId="35">
    <w:name w:val="fontstyle11"/>
    <w:qFormat/>
    <w:uiPriority w:val="0"/>
    <w:rPr>
      <w:rFonts w:hint="default" w:ascii="TimesNewRoman" w:hAnsi="TimesNewRoman"/>
      <w:color w:val="000000"/>
      <w:sz w:val="32"/>
      <w:szCs w:val="32"/>
    </w:rPr>
  </w:style>
  <w:style w:type="character" w:customStyle="1" w:styleId="36">
    <w:name w:val="bjh-p"/>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022&#24180;&#24037;&#20316;\2-1&#20915;&#31639;&#20844;&#24320;2021\1.&#20915;&#31639;&#20844;&#24320;&#34920;\&#25968;&#2545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ersonal\Desktop\2-1&#20915;&#31639;&#20844;&#24320;2021\1.&#20915;&#31639;&#20844;&#24320;&#34920;\&#25968;&#25454;.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oleObject" Target="file:///D:\Personal\Desktop\2-1&#20915;&#31639;&#20844;&#24320;2021\1.&#20915;&#31639;&#20844;&#24320;&#34920;\&#25968;&#2545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22&#24180;&#24037;&#20316;\2-1&#20915;&#31639;&#20844;&#24320;2021\1.&#20915;&#31639;&#20844;&#24320;&#34920;\&#25968;&#2545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ersonal\Desktop\2-1&#20915;&#31639;&#20844;&#24320;2021\1.&#20915;&#31639;&#20844;&#24320;&#34920;\&#25968;&#2545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ersonal\Desktop\2-1&#20915;&#31639;&#20844;&#24320;2021\1.&#20915;&#31639;&#20844;&#24320;&#34920;\&#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收支决算总计</a:t>
            </a:r>
            <a:endParaRPr lang="zh-CN"/>
          </a:p>
        </c:rich>
      </c:tx>
      <c:layout/>
      <c:overlay val="0"/>
    </c:title>
    <c:autoTitleDeleted val="0"/>
    <c:plotArea>
      <c:layout/>
      <c:barChart>
        <c:barDir val="col"/>
        <c:grouping val="clustered"/>
        <c:varyColors val="0"/>
        <c:ser>
          <c:idx val="0"/>
          <c:order val="0"/>
          <c:spPr>
            <a:solidFill>
              <a:schemeClr val="tx2">
                <a:lumMod val="75000"/>
              </a:schemeClr>
            </a:solidFill>
          </c:spPr>
          <c:invertIfNegative val="0"/>
          <c:dLbls>
            <c:delete val="1"/>
          </c:dLbls>
          <c:cat>
            <c:strRef>
              <c:f>本级!$B$6:$B$7</c:f>
              <c:strCache>
                <c:ptCount val="2"/>
                <c:pt idx="0">
                  <c:v>2020年</c:v>
                </c:pt>
                <c:pt idx="1">
                  <c:v>2021年</c:v>
                </c:pt>
              </c:strCache>
            </c:strRef>
          </c:cat>
          <c:val>
            <c:numRef>
              <c:f>本级!$C$6:$C$7</c:f>
              <c:numCache>
                <c:formatCode>General</c:formatCode>
                <c:ptCount val="2"/>
                <c:pt idx="0">
                  <c:v>3703.23</c:v>
                </c:pt>
                <c:pt idx="1">
                  <c:v>2597.09</c:v>
                </c:pt>
              </c:numCache>
            </c:numRef>
          </c:val>
        </c:ser>
        <c:dLbls>
          <c:showLegendKey val="0"/>
          <c:showVal val="0"/>
          <c:showCatName val="0"/>
          <c:showSerName val="0"/>
          <c:showPercent val="0"/>
          <c:showBubbleSize val="0"/>
        </c:dLbls>
        <c:gapWidth val="75"/>
        <c:overlap val="-25"/>
        <c:axId val="277840640"/>
        <c:axId val="279065728"/>
      </c:barChart>
      <c:catAx>
        <c:axId val="27784064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9065728"/>
        <c:crosses val="autoZero"/>
        <c:auto val="1"/>
        <c:lblAlgn val="ctr"/>
        <c:lblOffset val="100"/>
        <c:noMultiLvlLbl val="0"/>
      </c:catAx>
      <c:valAx>
        <c:axId val="27906572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7840640"/>
        <c:crosses val="autoZero"/>
        <c:crossBetween val="between"/>
      </c:valAx>
    </c:plotArea>
    <c:plotVisOnly val="1"/>
    <c:dispBlanksAs val="gap"/>
    <c:showDLblsOverMax val="0"/>
    <c:extLst>
      <c:ext uri="{0b15fc19-7d7d-44ad-8c2d-2c3a37ce22c3}">
        <chartProps xmlns="https://web.wps.cn/et/2018/main" chartId="{21133eb4-2c55-4b53-92ab-4cea9fdc7ee9}"/>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收入结构</a:t>
            </a:r>
            <a:endParaRPr lang="zh-CN"/>
          </a:p>
        </c:rich>
      </c:tx>
      <c:layout/>
      <c:overlay val="0"/>
    </c:title>
    <c:autoTitleDeleted val="0"/>
    <c:plotArea>
      <c:layout/>
      <c:pieChart>
        <c:varyColors val="1"/>
        <c:ser>
          <c:idx val="0"/>
          <c:order val="0"/>
          <c:explosion val="0"/>
          <c:dPt>
            <c:idx val="0"/>
            <c:bubble3D val="0"/>
          </c:dPt>
          <c:dPt>
            <c:idx val="1"/>
            <c:bubble3D val="0"/>
          </c:dPt>
          <c:dPt>
            <c:idx val="2"/>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一般公共预算财政拨款收入
</a:t>
                    </a:r>
                    <a:r>
                      <a:rPr lang="en-US" altLang="zh-CN"/>
                      <a:t>99.56%</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251505030621172"/>
                  <c:y val="0.11226851851851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政府性基金预算财政拨款收入
</a:t>
                    </a:r>
                    <a:r>
                      <a:rPr lang="en-US" altLang="zh-CN"/>
                      <a:t>0.44%</a:t>
                    </a:r>
                    <a:endParaRPr lang="zh-CN"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71250874890639"/>
                  <c:y val="0.013208661417322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其他收入
</a:t>
                    </a:r>
                    <a:r>
                      <a:rPr lang="en-US" altLang="zh-CN"/>
                      <a:t>0.01</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汇总!$H$2:$H$4</c:f>
              <c:strCache>
                <c:ptCount val="3"/>
                <c:pt idx="0">
                  <c:v>一般公共预算财政拨款收入</c:v>
                </c:pt>
                <c:pt idx="1">
                  <c:v>政府性基金预算财政拨款收入</c:v>
                </c:pt>
                <c:pt idx="2">
                  <c:v>其他收入</c:v>
                </c:pt>
              </c:strCache>
            </c:strRef>
          </c:cat>
          <c:val>
            <c:numRef>
              <c:f>汇总!$I$2:$I$4</c:f>
              <c:numCache>
                <c:formatCode>General</c:formatCode>
                <c:ptCount val="3"/>
                <c:pt idx="0">
                  <c:v>2268.82</c:v>
                </c:pt>
                <c:pt idx="1">
                  <c:v>10</c:v>
                </c:pt>
                <c:pt idx="2">
                  <c:v>0.13</c:v>
                </c:pt>
              </c:numCache>
            </c:numRef>
          </c:val>
        </c:ser>
        <c:ser>
          <c:idx val="1"/>
          <c:order val="1"/>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汇总!$H$2:$H$4</c:f>
              <c:strCache>
                <c:ptCount val="3"/>
                <c:pt idx="0">
                  <c:v>一般公共预算财政拨款收入</c:v>
                </c:pt>
                <c:pt idx="1">
                  <c:v>政府性基金预算财政拨款收入</c:v>
                </c:pt>
                <c:pt idx="2">
                  <c:v>其他收入</c:v>
                </c:pt>
              </c:strCache>
            </c:strRef>
          </c:cat>
          <c:val>
            <c:numRef>
              <c:f>汇总!$J$2:$J$4</c:f>
              <c:numCache>
                <c:formatCode>0.00%</c:formatCode>
                <c:ptCount val="3"/>
                <c:pt idx="0">
                  <c:v>0.995554970490796</c:v>
                </c:pt>
                <c:pt idx="1">
                  <c:v>0.00438798569516663</c:v>
                </c:pt>
                <c:pt idx="2">
                  <c:v>5.70438140371663e-5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extLst>
      <c:ext uri="{0b15fc19-7d7d-44ad-8c2d-2c3a37ce22c3}">
        <chartProps xmlns="https://web.wps.cn/et/2018/main" chartId="{faa8b55c-af36-408a-b763-e5a4765d4479}"/>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本级!$B$14:$C$14</c:f>
              <c:strCache>
                <c:ptCount val="2"/>
                <c:pt idx="0">
                  <c:v>项目支出</c:v>
                </c:pt>
                <c:pt idx="1">
                  <c:v>基本支出</c:v>
                </c:pt>
              </c:strCache>
            </c:strRef>
          </c:cat>
          <c:val>
            <c:numRef>
              <c:f>本级!$B$15:$C$15</c:f>
              <c:numCache>
                <c:formatCode>General</c:formatCode>
                <c:ptCount val="2"/>
                <c:pt idx="0">
                  <c:v>209.91</c:v>
                </c:pt>
                <c:pt idx="1">
                  <c:v>1949.52</c:v>
                </c:pt>
              </c:numCache>
            </c:numRef>
          </c:val>
        </c:ser>
        <c:ser>
          <c:idx val="1"/>
          <c:order val="1"/>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本级!$B$14:$C$14</c:f>
              <c:strCache>
                <c:ptCount val="2"/>
                <c:pt idx="0">
                  <c:v>项目支出</c:v>
                </c:pt>
                <c:pt idx="1">
                  <c:v>基本支出</c:v>
                </c:pt>
              </c:strCache>
            </c:strRef>
          </c:cat>
          <c:val>
            <c:numRef>
              <c:f>本级!$B$16:$C$16</c:f>
              <c:numCache>
                <c:formatCode>0.00%</c:formatCode>
                <c:ptCount val="2"/>
                <c:pt idx="0">
                  <c:v>0.097206207193565</c:v>
                </c:pt>
                <c:pt idx="1">
                  <c:v>0.902793792806435</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c29a0556-ad7a-4b10-9894-efbf87243598}"/>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a:t>
            </a:r>
            <a:endParaRPr lang="zh-CN" altLang="en-US"/>
          </a:p>
        </c:rich>
      </c:tx>
      <c:layout/>
      <c:overlay val="0"/>
    </c:title>
    <c:autoTitleDeleted val="0"/>
    <c:plotArea>
      <c:layout/>
      <c:barChart>
        <c:barDir val="col"/>
        <c:grouping val="clustered"/>
        <c:varyColors val="0"/>
        <c:ser>
          <c:idx val="0"/>
          <c:order val="0"/>
          <c:invertIfNegative val="0"/>
          <c:dLbls>
            <c:delete val="1"/>
          </c:dLbls>
          <c:cat>
            <c:strRef>
              <c:f>汇总!$E$6:$E$7</c:f>
              <c:strCache>
                <c:ptCount val="2"/>
                <c:pt idx="0">
                  <c:v>2020年</c:v>
                </c:pt>
                <c:pt idx="1">
                  <c:v>2021年</c:v>
                </c:pt>
              </c:strCache>
            </c:strRef>
          </c:cat>
          <c:val>
            <c:numRef>
              <c:f>汇总!$F$6:$F$7</c:f>
              <c:numCache>
                <c:formatCode>General</c:formatCode>
                <c:ptCount val="2"/>
                <c:pt idx="0">
                  <c:v>4616.55</c:v>
                </c:pt>
                <c:pt idx="1" c:formatCode="#,##0.00">
                  <c:v>2758.96</c:v>
                </c:pt>
              </c:numCache>
            </c:numRef>
          </c:val>
        </c:ser>
        <c:dLbls>
          <c:showLegendKey val="0"/>
          <c:showVal val="0"/>
          <c:showCatName val="0"/>
          <c:showSerName val="0"/>
          <c:showPercent val="0"/>
          <c:showBubbleSize val="0"/>
        </c:dLbls>
        <c:gapWidth val="75"/>
        <c:axId val="200162304"/>
        <c:axId val="200168192"/>
      </c:barChart>
      <c:catAx>
        <c:axId val="20016230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0168192"/>
        <c:crosses val="autoZero"/>
        <c:auto val="1"/>
        <c:lblAlgn val="ctr"/>
        <c:lblOffset val="100"/>
        <c:noMultiLvlLbl val="0"/>
      </c:catAx>
      <c:valAx>
        <c:axId val="200168192"/>
        <c:scaling>
          <c:orientation val="minMax"/>
        </c:scaling>
        <c:delete val="0"/>
        <c:axPos val="l"/>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0162304"/>
        <c:crosses val="autoZero"/>
        <c:crossBetween val="between"/>
      </c:valAx>
      <c:spPr>
        <a:solidFill>
          <a:schemeClr val="bg1"/>
        </a:solidFill>
        <a:ln>
          <a:noFill/>
        </a:ln>
        <a:effectLst/>
      </c:spPr>
    </c:plotArea>
    <c:plotVisOnly val="1"/>
    <c:dispBlanksAs val="gap"/>
    <c:showDLblsOverMax val="0"/>
    <c:extLst>
      <c:ext uri="{0b15fc19-7d7d-44ad-8c2d-2c3a37ce22c3}">
        <chartProps xmlns="https://web.wps.cn/et/2018/main" chartId="{c226335e-29bc-47f5-b6af-badc4dcdca8c}"/>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一般公共预算支出</a:t>
            </a:r>
            <a:endParaRPr lang="zh-CN"/>
          </a:p>
        </c:rich>
      </c:tx>
      <c:layout/>
      <c:overlay val="0"/>
    </c:title>
    <c:autoTitleDeleted val="0"/>
    <c:plotArea>
      <c:layout/>
      <c:barChart>
        <c:barDir val="col"/>
        <c:grouping val="clustered"/>
        <c:varyColors val="0"/>
        <c:ser>
          <c:idx val="0"/>
          <c:order val="0"/>
          <c:invertIfNegative val="0"/>
          <c:dPt>
            <c:idx val="1"/>
            <c:invertIfNegative val="0"/>
            <c:bubble3D val="0"/>
            <c:spPr>
              <a:solidFill>
                <a:schemeClr val="accent1">
                  <a:lumMod val="75000"/>
                </a:schemeClr>
              </a:solidFill>
            </c:spPr>
          </c:dPt>
          <c:dLbls>
            <c:delete val="1"/>
          </c:dLbls>
          <c:cat>
            <c:strRef>
              <c:f>本级!$B$24:$B$25</c:f>
              <c:strCache>
                <c:ptCount val="2"/>
                <c:pt idx="0">
                  <c:v>2020年</c:v>
                </c:pt>
                <c:pt idx="1">
                  <c:v>2021年</c:v>
                </c:pt>
              </c:strCache>
            </c:strRef>
          </c:cat>
          <c:val>
            <c:numRef>
              <c:f>本级!$C$24:$C$25</c:f>
              <c:numCache>
                <c:formatCode>#,##0.00</c:formatCode>
                <c:ptCount val="2"/>
                <c:pt idx="0">
                  <c:v>3073.81</c:v>
                </c:pt>
                <c:pt idx="1">
                  <c:v>2145.73</c:v>
                </c:pt>
              </c:numCache>
            </c:numRef>
          </c:val>
        </c:ser>
        <c:dLbls>
          <c:showLegendKey val="0"/>
          <c:showVal val="0"/>
          <c:showCatName val="0"/>
          <c:showSerName val="0"/>
          <c:showPercent val="0"/>
          <c:showBubbleSize val="0"/>
        </c:dLbls>
        <c:gapWidth val="75"/>
        <c:axId val="200176768"/>
        <c:axId val="200178304"/>
      </c:barChart>
      <c:catAx>
        <c:axId val="20017676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0178304"/>
        <c:crosses val="autoZero"/>
        <c:auto val="1"/>
        <c:lblAlgn val="ctr"/>
        <c:lblOffset val="100"/>
        <c:noMultiLvlLbl val="0"/>
      </c:catAx>
      <c:valAx>
        <c:axId val="200178304"/>
        <c:scaling>
          <c:orientation val="minMax"/>
        </c:scaling>
        <c:delete val="0"/>
        <c:axPos val="l"/>
        <c:majorGridlines/>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0176768"/>
        <c:crosses val="autoZero"/>
        <c:crossBetween val="between"/>
      </c:valAx>
      <c:spPr>
        <a:solidFill>
          <a:schemeClr val="bg1"/>
        </a:solidFill>
        <a:ln>
          <a:noFill/>
        </a:ln>
        <a:effectLst/>
      </c:spPr>
    </c:plotArea>
    <c:plotVisOnly val="1"/>
    <c:dispBlanksAs val="gap"/>
    <c:showDLblsOverMax val="0"/>
    <c:extLst>
      <c:ext uri="{0b15fc19-7d7d-44ad-8c2d-2c3a37ce22c3}">
        <chartProps xmlns="https://web.wps.cn/et/2018/main" chartId="{0f39cb70-4fa1-4c2c-84ed-f19c26f7a176}"/>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pie3DChart>
        <c:varyColors val="1"/>
        <c:ser>
          <c:idx val="0"/>
          <c:order val="0"/>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汇总!$B$27:$B$31</c:f>
              <c:strCache>
                <c:ptCount val="5"/>
                <c:pt idx="0">
                  <c:v>一般公共服务支出</c:v>
                </c:pt>
                <c:pt idx="1">
                  <c:v>科学技术支出</c:v>
                </c:pt>
                <c:pt idx="2">
                  <c:v>社会保障和就业支出</c:v>
                </c:pt>
                <c:pt idx="3">
                  <c:v>资源勘探工业信息等支出</c:v>
                </c:pt>
                <c:pt idx="4">
                  <c:v>住房保障支出</c:v>
                </c:pt>
              </c:strCache>
            </c:strRef>
          </c:cat>
          <c:val>
            <c:numRef>
              <c:f>汇总!$C$27:$C$31</c:f>
              <c:numCache>
                <c:formatCode>#,##0.00</c:formatCode>
                <c:ptCount val="5"/>
                <c:pt idx="0">
                  <c:v>1415.88</c:v>
                </c:pt>
                <c:pt idx="1">
                  <c:v>84.55</c:v>
                </c:pt>
                <c:pt idx="2">
                  <c:v>506.25</c:v>
                </c:pt>
                <c:pt idx="3">
                  <c:v>182.6</c:v>
                </c:pt>
                <c:pt idx="4">
                  <c:v>118.83</c:v>
                </c:pt>
              </c:numCache>
            </c:numRef>
          </c:val>
        </c:ser>
        <c:ser>
          <c:idx val="1"/>
          <c:order val="1"/>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汇总!$B$27:$B$31</c:f>
              <c:strCache>
                <c:ptCount val="5"/>
                <c:pt idx="0">
                  <c:v>一般公共服务支出</c:v>
                </c:pt>
                <c:pt idx="1">
                  <c:v>科学技术支出</c:v>
                </c:pt>
                <c:pt idx="2">
                  <c:v>社会保障和就业支出</c:v>
                </c:pt>
                <c:pt idx="3">
                  <c:v>资源勘探工业信息等支出</c:v>
                </c:pt>
                <c:pt idx="4">
                  <c:v>住房保障支出</c:v>
                </c:pt>
              </c:strCache>
            </c:strRef>
          </c:cat>
          <c:val>
            <c:numRef>
              <c:f>汇总!$D$27:$D$31</c:f>
              <c:numCache>
                <c:formatCode>0.00%</c:formatCode>
                <c:ptCount val="5"/>
                <c:pt idx="0">
                  <c:v>0.613436967908809</c:v>
                </c:pt>
                <c:pt idx="1">
                  <c:v>0.0366317029950912</c:v>
                </c:pt>
                <c:pt idx="2">
                  <c:v>0.219335300310644</c:v>
                </c:pt>
                <c:pt idx="3">
                  <c:v>0.0791123473317996</c:v>
                </c:pt>
                <c:pt idx="4">
                  <c:v>0.0514836814536569</c:v>
                </c:pt>
              </c:numCache>
            </c:numRef>
          </c:val>
        </c:ser>
        <c:dLbls>
          <c:showLegendKey val="0"/>
          <c:showVal val="0"/>
          <c:showCatName val="0"/>
          <c:showSerName val="0"/>
          <c:showPercent val="1"/>
          <c:showBubbleSize val="0"/>
        </c:dLbls>
      </c:pie3D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99e37ff0-bf91-4fd9-94d2-c7e1f2f3981f}"/>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汇总!$E$17:$E$19</c:f>
              <c:strCache>
                <c:ptCount val="3"/>
                <c:pt idx="0">
                  <c:v>因公出境</c:v>
                </c:pt>
                <c:pt idx="1">
                  <c:v>公务用车</c:v>
                </c:pt>
                <c:pt idx="2">
                  <c:v>公务接待</c:v>
                </c:pt>
              </c:strCache>
            </c:strRef>
          </c:cat>
          <c:val>
            <c:numRef>
              <c:f>汇总!$F$17:$F$19</c:f>
              <c:numCache>
                <c:formatCode>General</c:formatCode>
                <c:ptCount val="3"/>
                <c:pt idx="0">
                  <c:v>0</c:v>
                </c:pt>
                <c:pt idx="1">
                  <c:v>7.12</c:v>
                </c:pt>
                <c:pt idx="2">
                  <c:v>1.24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extLst>
      <c:ext uri="{0b15fc19-7d7d-44ad-8c2d-2c3a37ce22c3}">
        <chartProps xmlns="https://web.wps.cn/et/2018/main" chartId="{93cff133-8cd6-491e-87f2-cc89ac028f2a}"/>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9A421-B7BD-4803-8054-0EE656536A25}">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65</Pages>
  <Words>19398</Words>
  <Characters>20614</Characters>
  <Lines>200</Lines>
  <Paragraphs>56</Paragraphs>
  <TotalTime>552</TotalTime>
  <ScaleCrop>false</ScaleCrop>
  <LinksUpToDate>false</LinksUpToDate>
  <CharactersWithSpaces>20710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2022-08-08T09:11:00Z</cp:lastPrinted>
  <dcterms:modified xsi:type="dcterms:W3CDTF">2025-02-10T09:49:22Z</dcterms:modified>
  <dc:title>四川省***</dc:title>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eyJoZGlkIjoiZDgzM2VjYjRiOGNlZjhiMzNhMGRlYTk5YTU3MTk1Y2EifQ==</vt:lpwstr>
  </property>
  <property fmtid="{D5CDD505-2E9C-101B-9397-08002B2CF9AE}" pid="4" name="ICV">
    <vt:lpwstr>16A6F299BF5D4F08B80D5523A63DDF0D_12</vt:lpwstr>
  </property>
</Properties>
</file>