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keepNext w:val="0"/>
        <w:keepLines w:val="0"/>
        <w:widowControl/>
        <w:suppressLineNumbers w:val="0"/>
        <w:spacing w:beforeAutospacing="0" w:afterAutospacing="0" w:line="760" w:lineRule="exact"/>
        <w:jc w:val="center"/>
        <w:rPr>
          <w:rFonts w:ascii="Times New Roman" w:eastAsia="方正小标宋_GBK" w:cs="Times New Roman" w:hAnsi="Times New Roman"/>
          <w:b w:val="0"/>
          <w:sz w:val="44"/>
          <w:szCs w:val="44"/>
        </w:rPr>
      </w:pPr>
      <w:r>
        <w:rPr>
          <w:rFonts w:ascii="Times New Roman" w:eastAsia="方正小标宋_GBK" w:cs="Times New Roman" w:hAnsi="Times New Roman"/>
          <w:b w:val="0"/>
          <w:sz w:val="44"/>
          <w:szCs w:val="44"/>
        </w:rPr>
        <w:t>工业和信息化部等七部门关于印发推动</w:t>
      </w:r>
    </w:p>
    <w:p>
      <w:pPr>
        <w:pStyle w:val="1"/>
        <w:keepNext w:val="0"/>
        <w:keepLines w:val="0"/>
        <w:widowControl/>
        <w:suppressLineNumbers w:val="0"/>
        <w:spacing w:beforeAutospacing="0" w:afterAutospacing="0" w:line="760" w:lineRule="exact"/>
        <w:jc w:val="center"/>
        <w:rPr>
          <w:rFonts w:ascii="Times New Roman" w:eastAsia="方正小标宋_GBK" w:cs="Times New Roman" w:hAnsi="Times New Roman"/>
          <w:b w:val="0"/>
          <w:sz w:val="44"/>
          <w:szCs w:val="44"/>
        </w:rPr>
      </w:pPr>
      <w:r>
        <w:rPr>
          <w:rFonts w:ascii="Times New Roman" w:eastAsia="方正小标宋_GBK" w:cs="Times New Roman" w:hAnsi="Times New Roman"/>
          <w:b w:val="0"/>
          <w:sz w:val="44"/>
          <w:szCs w:val="44"/>
        </w:rPr>
        <w:t>工业领域设备更新实施方案的通知</w:t>
      </w:r>
    </w:p>
    <w:p>
      <w:pPr>
        <w:pStyle w:val="15"/>
        <w:keepNext w:val="0"/>
        <w:keepLines w:val="0"/>
        <w:widowControl/>
        <w:suppressLineNumbers w:val="0"/>
        <w:spacing w:beforeAutospacing="0" w:afterAutospacing="0" w:line="400" w:lineRule="exact"/>
        <w:jc w:val="center"/>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jc w:val="center"/>
        <w:rPr>
          <w:rFonts w:ascii="Times New Roman" w:eastAsia="仿宋_GB2312" w:cs="Times New Roman" w:hAnsi="Times New Roman"/>
          <w:sz w:val="32"/>
          <w:szCs w:val="32"/>
        </w:rPr>
      </w:pPr>
      <w:r>
        <w:rPr>
          <w:rFonts w:ascii="Times New Roman" w:eastAsia="仿宋_GB2312" w:cs="Times New Roman" w:hAnsi="Times New Roman"/>
          <w:sz w:val="32"/>
          <w:szCs w:val="32"/>
        </w:rPr>
        <w:t>工信部联规〔2024〕53号</w:t>
      </w:r>
    </w:p>
    <w:p>
      <w:pPr>
        <w:pStyle w:val="15"/>
        <w:keepNext w:val="0"/>
        <w:keepLines w:val="0"/>
        <w:widowControl/>
        <w:suppressLineNumbers w:val="0"/>
        <w:spacing w:beforeAutospacing="0" w:afterAutospacing="0" w:line="400" w:lineRule="exact"/>
        <w:jc w:val="lef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jc w:val="left"/>
        <w:rPr>
          <w:rFonts w:ascii="Times New Roman" w:eastAsia="仿宋_GB2312" w:cs="Times New Roman" w:hAnsi="Times New Roman"/>
          <w:spacing w:val="-10"/>
          <w:sz w:val="32"/>
          <w:szCs w:val="32"/>
        </w:rPr>
      </w:pPr>
      <w:r>
        <w:rPr>
          <w:rFonts w:ascii="Times New Roman" w:eastAsia="仿宋_GB2312" w:cs="Times New Roman" w:hAnsi="Times New Roman"/>
          <w:spacing w:val="-10"/>
          <w:sz w:val="32"/>
          <w:szCs w:val="32"/>
        </w:rPr>
        <w:t>各省、自治区、直辖市人民政府，国务院各部委、各直属机构：</w:t>
      </w:r>
    </w:p>
    <w:p>
      <w:pPr>
        <w:pStyle w:val="15"/>
        <w:keepNext w:val="0"/>
        <w:keepLines w:val="0"/>
        <w:widowControl/>
        <w:suppressLineNumbers w:val="0"/>
        <w:spacing w:beforeAutospacing="0" w:afterAutospacing="0" w:line="560" w:lineRule="exact"/>
        <w:jc w:val="lef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《推动工业领域设备更新实施方案》已经国务院同意，现印发给你们，请认真贯彻执行。</w:t>
      </w:r>
    </w:p>
    <w:p>
      <w:pPr>
        <w:pStyle w:val="15"/>
        <w:keepNext w:val="0"/>
        <w:keepLines w:val="0"/>
        <w:widowControl/>
        <w:suppressLineNumbers w:val="0"/>
        <w:spacing w:beforeAutospacing="0" w:afterAutospacing="0" w:line="560" w:lineRule="exact"/>
        <w:ind w:left="0" w:firstLine="420"/>
        <w:jc w:val="lef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jc w:val="lef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firstLine="525"/>
        <w:jc w:val="both"/>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工业和信息化部                </w:t>
      </w:r>
      <w:bookmarkStart w:id="0" w:name="_GoBack"/>
      <w:bookmarkEnd w:id="0"/>
      <w:r>
        <w:rPr>
          <w:rFonts w:ascii="Times New Roman" w:eastAsia="仿宋_GB2312" w:cs="Times New Roman" w:hAnsi="Times New Roman"/>
          <w:sz w:val="32"/>
          <w:szCs w:val="32"/>
        </w:rPr>
        <w:t>国家发展改革委</w:t>
      </w:r>
    </w:p>
    <w:p>
      <w:pPr>
        <w:pStyle w:val="15"/>
        <w:keepNext w:val="0"/>
        <w:keepLines w:val="0"/>
        <w:widowControl/>
        <w:suppressLineNumbers w:val="0"/>
        <w:spacing w:beforeAutospacing="0" w:afterAutospacing="0" w:line="560" w:lineRule="exact"/>
        <w:ind w:left="0" w:firstLine="42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财政部                          中国人民银行</w:t>
      </w:r>
    </w:p>
    <w:p>
      <w:pPr>
        <w:pStyle w:val="15"/>
        <w:keepNext w:val="0"/>
        <w:keepLines w:val="0"/>
        <w:widowControl/>
        <w:suppressLineNumbers w:val="0"/>
        <w:spacing w:beforeAutospacing="0" w:afterAutospacing="0" w:line="560" w:lineRule="exact"/>
        <w:ind w:left="0" w:firstLine="42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rPr>
          <w:rFonts w:ascii="Times New Roman" w:eastAsia="仿宋_GB2312" w:cs="Times New Roman" w:hAnsi="Times New Roman"/>
          <w:sz w:val="32"/>
          <w:szCs w:val="32"/>
        </w:rPr>
      </w:pPr>
      <w:r>
        <w:rPr>
          <w:rFonts w:ascii="Times New Roman" w:eastAsia="仿宋_GB2312" w:cs="Times New Roman" w:hAnsi="Times New Roman"/>
          <w:sz w:val="32"/>
          <w:szCs w:val="32"/>
        </w:rPr>
        <w:t>税务总局                        市场监管总局</w:t>
      </w:r>
    </w:p>
    <w:p>
      <w:pPr>
        <w:pStyle w:val="15"/>
        <w:keepNext w:val="0"/>
        <w:keepLines w:val="0"/>
        <w:widowControl/>
        <w:suppressLineNumbers w:val="0"/>
        <w:spacing w:beforeAutospacing="0" w:afterAutospacing="0" w:line="560" w:lineRule="exact"/>
        <w:ind w:left="0" w:firstLine="42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jc w:val="righ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560" w:lineRule="exact"/>
        <w:ind w:left="0" w:firstLine="420"/>
        <w:jc w:val="center"/>
        <w:rPr>
          <w:rFonts w:ascii="Times New Roman" w:eastAsia="仿宋_GB2312" w:cs="Times New Roman" w:hAnsi="Times New Roman"/>
          <w:sz w:val="32"/>
          <w:szCs w:val="32"/>
        </w:rPr>
      </w:pPr>
      <w:r>
        <w:rPr>
          <w:rFonts w:ascii="Times New Roman" w:eastAsia="仿宋_GB2312" w:cs="Times New Roman" w:hAnsi="Times New Roman"/>
          <w:sz w:val="32"/>
          <w:szCs w:val="32"/>
        </w:rPr>
        <w:t xml:space="preserve">                      金融监管总局</w:t>
      </w:r>
    </w:p>
    <w:p>
      <w:pPr>
        <w:pStyle w:val="15"/>
        <w:keepNext w:val="0"/>
        <w:keepLines w:val="0"/>
        <w:widowControl/>
        <w:suppressLineNumbers w:val="0"/>
        <w:wordWrap w:val="0"/>
        <w:spacing w:beforeAutospacing="0" w:afterAutospacing="0" w:line="560" w:lineRule="exact"/>
        <w:ind w:left="0" w:firstLine="420"/>
        <w:jc w:val="right"/>
        <w:rPr>
          <w:rFonts w:ascii="Times New Roman" w:eastAsia="仿宋_GB2312" w:cs="Times New Roman" w:hAnsi="Times New Roman"/>
          <w:sz w:val="32"/>
          <w:szCs w:val="32"/>
        </w:rPr>
      </w:pPr>
      <w:r>
        <w:rPr>
          <w:rFonts w:ascii="Times New Roman" w:eastAsia="仿宋_GB2312" w:cs="Times New Roman" w:hAnsi="Times New Roman"/>
          <w:sz w:val="32"/>
          <w:szCs w:val="32"/>
        </w:rPr>
        <w:t>2024年3月27日</w:t>
      </w:r>
      <w:r>
        <w:rPr>
          <w:rFonts w:ascii="Times New Roman" w:eastAsia="仿宋_GB2312" w:cs="Times New Roman" w:hAnsi="Times New Roman"/>
          <w:sz w:val="32"/>
          <w:szCs w:val="32"/>
        </w:rPr>
        <w:t xml:space="preserve">        </w:t>
      </w:r>
    </w:p>
    <w:p>
      <w:pPr>
        <w:pStyle w:val="15"/>
        <w:keepNext w:val="0"/>
        <w:keepLines w:val="0"/>
        <w:widowControl/>
        <w:suppressLineNumbers w:val="0"/>
        <w:spacing w:beforeAutospacing="0" w:afterAutospacing="0" w:line="600" w:lineRule="exact"/>
        <w:jc w:val="center"/>
        <w:rPr>
          <w:rFonts w:ascii="Times New Roman" w:eastAsia="方正小标宋_GBK" w:cs="Times New Roman" w:hAnsi="Times New Roman"/>
          <w:sz w:val="44"/>
          <w:szCs w:val="44"/>
        </w:rPr>
      </w:pPr>
      <w:r>
        <w:rPr>
          <w:rStyle w:val="16"/>
          <w:rFonts w:ascii="Times New Roman" w:eastAsia="方正小标宋_GBK" w:cs="Times New Roman" w:hAnsi="Times New Roman"/>
          <w:b w:val="0"/>
          <w:sz w:val="44"/>
          <w:szCs w:val="44"/>
        </w:rPr>
        <w:t>推动工业领域设备更新实施方案</w:t>
      </w:r>
    </w:p>
    <w:p>
      <w:pPr>
        <w:pStyle w:val="15"/>
        <w:keepNext w:val="0"/>
        <w:keepLines w:val="0"/>
        <w:widowControl/>
        <w:suppressLineNumbers w:val="0"/>
        <w:spacing w:beforeAutospacing="0" w:afterAutospacing="0" w:line="600" w:lineRule="exact"/>
        <w:rPr>
          <w:rFonts w:ascii="Times New Roman" w:eastAsia="仿宋_GB2312" w:cs="Times New Roman" w:hAnsi="Times New Roman"/>
          <w:sz w:val="32"/>
          <w:szCs w:val="32"/>
        </w:rPr>
      </w:pP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推动工业领域大规模设备更新，有利于扩大有效投资，有利于推动先进产能比重持续提升，对加快建设现代化产业体系具有重要意义。为贯彻落实党中央、国务院决策部署，推动工业领域设备更新和技术改造，制定如下实施方案。</w:t>
      </w:r>
    </w:p>
    <w:p>
      <w:pPr>
        <w:pStyle w:val="15"/>
        <w:keepNext w:val="0"/>
        <w:keepLines w:val="0"/>
        <w:widowControl/>
        <w:suppressLineNumbers w:val="0"/>
        <w:spacing w:beforeAutospacing="0" w:afterAutospacing="0" w:line="600" w:lineRule="exact"/>
        <w:ind w:left="0" w:firstLine="420"/>
        <w:jc w:val="left"/>
        <w:rPr>
          <w:rFonts w:ascii="Times New Roman" w:eastAsia="黑体" w:cs="Times New Roman" w:hAnsi="Times New Roman"/>
          <w:sz w:val="32"/>
          <w:szCs w:val="32"/>
        </w:rPr>
      </w:pPr>
      <w:r>
        <w:rPr>
          <w:rFonts w:ascii="Times New Roman" w:eastAsia="黑体" w:cs="Times New Roman" w:hAnsi="Times New Roman"/>
          <w:sz w:val="32"/>
          <w:szCs w:val="32"/>
        </w:rPr>
        <w:t>一、总体要求</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推动工业领域大规模设备更新，要以习近平新时代中国特色社会主义思想为指导，深入贯彻党的二十大精神，按照中央经济工作会议和中央财经委员会第四次会议部署，统筹扩大内需和深化供给侧结构性改革，围绕推进新型工业化，以大规模设备更新为抓手，实施制造业技术改造升级工程，以数字化转型和绿色化升级为重点，推动制造业高端化、智能化、绿色化发展，为发展新质生产力，提高国民经济循环质量和水平提供有力支撑。</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坚持市场化推进。坚持全国统一大市场，充分发挥市场配置资源的决定性作用，结合工业领域各类设备更新差异化需求，依靠市场提供多样化供给和服务。更好发挥政府作用，营造有利于企业技术改造和设备更新的政策环境。</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——坚持标准化引领。强化技术、质量、能耗、排放等标准制定和贯标实施，依法依规引导企业淘汰落后设备、使用先进设备，提高生产效率和技术水平。统筹考虑行业发展和市场实际，循序渐进、有序推进。</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——坚持软硬件一体化更新。主动适应和引领新一轮科技革命和产业变革，积极推进新一代信息技术赋能新型工业化，在推动硬件设备更新的同时，注重软件系统迭代升级和创新应用。</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到2027年，工业领域设备投资规模较2023年增长25%以上，规模以上工业企业数字化研发设计工具普及率、关键工序数控化率分别超过90%、75%，工业大省大市和重点园区规上工业企业数字化改造全覆盖，重点行业能效基准水平以下产能基本退出、主要用能设备能效基本达到节能水平，本质安全水平明显提升，创新产品加快推广应用，先进产能比重持续提高。</w:t>
      </w:r>
    </w:p>
    <w:p>
      <w:pPr>
        <w:pStyle w:val="15"/>
        <w:keepNext w:val="0"/>
        <w:keepLines w:val="0"/>
        <w:widowControl/>
        <w:suppressLineNumbers w:val="0"/>
        <w:spacing w:beforeAutospacing="0" w:afterAutospacing="0" w:line="600" w:lineRule="exact"/>
        <w:ind w:left="0" w:firstLine="420"/>
        <w:jc w:val="left"/>
        <w:rPr>
          <w:rFonts w:ascii="Times New Roman" w:eastAsia="黑体" w:cs="Times New Roman" w:hAnsi="Times New Roman"/>
          <w:sz w:val="32"/>
          <w:szCs w:val="32"/>
        </w:rPr>
      </w:pPr>
      <w:r>
        <w:rPr>
          <w:rFonts w:ascii="Times New Roman" w:eastAsia="黑体" w:cs="Times New Roman" w:hAnsi="Times New Roman"/>
          <w:sz w:val="32"/>
          <w:szCs w:val="32"/>
        </w:rPr>
        <w:t>二、重点任务</w:t>
      </w:r>
    </w:p>
    <w:p>
      <w:pPr>
        <w:pStyle w:val="15"/>
        <w:keepNext w:val="0"/>
        <w:keepLines w:val="0"/>
        <w:widowControl/>
        <w:suppressLineNumbers w:val="0"/>
        <w:spacing w:beforeAutospacing="0" w:afterAutospacing="0" w:line="600" w:lineRule="exact"/>
        <w:ind w:left="0" w:firstLine="420"/>
        <w:jc w:val="left"/>
        <w:rPr>
          <w:rFonts w:ascii="Times New Roman" w:eastAsia="楷体_GB2312" w:cs="Times New Roman" w:hAnsi="Times New Roman"/>
          <w:b/>
          <w:bCs/>
          <w:sz w:val="32"/>
          <w:szCs w:val="32"/>
        </w:rPr>
      </w:pPr>
      <w:r>
        <w:rPr>
          <w:rFonts w:ascii="Times New Roman" w:eastAsia="楷体_GB2312" w:cs="Times New Roman" w:hAnsi="Times New Roman"/>
          <w:b/>
          <w:bCs/>
          <w:sz w:val="32"/>
          <w:szCs w:val="32"/>
        </w:rPr>
        <w:t>（一）实施先进设备更新行动</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1.加快落后低效设备替代。</w:t>
      </w:r>
      <w:r>
        <w:rPr>
          <w:rFonts w:ascii="Times New Roman" w:eastAsia="仿宋_GB2312" w:cs="Times New Roman" w:hAnsi="Times New Roman"/>
          <w:sz w:val="32"/>
          <w:szCs w:val="32"/>
        </w:rPr>
        <w:t>针对工业母机、农机、工程机械、电动自行车等生产设备整体处于中低水平的行业，加快淘汰落后低效设备、超期服役老旧设备。重点推动工业母机行业更新服役超过10年的机床等；农机行业更新柔性剪切、成型、焊接、制造生产技术及装备等；工程机械行业更新油压机、折弯机、工艺陈旧产线和在线检测装备等；仪器仪表行业更新数控加工装备、检定装备等；纺织行业更新转杯纺纱机等短流程纺织设备，细纱机、自动络筒机等棉纺设备；电动自行车行业更新自动焊接机器人、自动化喷涂和烘干设备、电动或气动装配设备、绝缘耐压测试仪、循环充放电测试仪等。</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2.更新升级高端先进设备。</w:t>
      </w:r>
      <w:r>
        <w:rPr>
          <w:rFonts w:ascii="Times New Roman" w:eastAsia="仿宋_GB2312" w:cs="Times New Roman" w:hAnsi="Times New Roman"/>
          <w:sz w:val="32"/>
          <w:szCs w:val="32"/>
        </w:rPr>
        <w:t>针对航空、光伏、动力电池、生物发酵等生产设备整体处于中高水平的行业，鼓励企业更新一批高技术、高效率、高可靠性的先进设备。重点推动航空行业全面开展大飞机、大型水陆两栖飞机及航空发动机总装集成能力、供应链配套能力等建设；光伏行业更新大热场单晶炉、高线速小轴距多线切割机、多合一镀膜设备、大尺寸多主栅组件串焊机等先进设备；动力电池行业生产设备向高精度、高速度、高可靠性升级，重点更新超声波焊接机、激光焊接机、注液机、分容柜等设备；生物发酵行业实施萃取提取工艺技改，更新蒸发器、离心机、新型干燥系统、连续离子交换设备等。</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3.更新升级试验检测设备。</w:t>
      </w:r>
      <w:r>
        <w:rPr>
          <w:rFonts w:ascii="Times New Roman" w:eastAsia="仿宋_GB2312" w:cs="Times New Roman" w:hAnsi="Times New Roman"/>
          <w:sz w:val="32"/>
          <w:szCs w:val="32"/>
        </w:rPr>
        <w:t>在石化化工、医药、船舶、电子等重点行业，围绕设计验证、测试验证、工艺验证等中试验证和检验检测环节，更新一批先进设备，提升工程化和产业化能力。重点推动设计验证环节更新模型制造设备、实验分析仪器等先进设备；测试验证环节更新机械测试、光学测试、环境测试等测试仪器；工艺验证环节更新环境适应性试验、可靠性试验、工艺验证试验、安规试验等试验专用设备，以及专用制样、材料加工、电子组装、机械加工等样品制备和试生产装备；检验检测环节更新电子测量、无损检测、智能检测等仪器设备。</w:t>
      </w:r>
    </w:p>
    <w:p>
      <w:pPr>
        <w:pStyle w:val="15"/>
        <w:keepNext w:val="0"/>
        <w:keepLines w:val="0"/>
        <w:widowControl/>
        <w:suppressLineNumbers w:val="0"/>
        <w:spacing w:beforeAutospacing="0" w:afterAutospacing="0" w:line="600" w:lineRule="exact"/>
        <w:ind w:left="0" w:firstLine="420"/>
        <w:rPr>
          <w:rFonts w:ascii="Times New Roman" w:eastAsia="楷体_GB2312" w:cs="Times New Roman" w:hAnsi="Times New Roman"/>
          <w:b/>
          <w:bCs/>
          <w:sz w:val="32"/>
          <w:szCs w:val="32"/>
        </w:rPr>
      </w:pPr>
      <w:r>
        <w:rPr>
          <w:rFonts w:ascii="Times New Roman" w:eastAsia="楷体_GB2312" w:cs="Times New Roman" w:hAnsi="Times New Roman"/>
          <w:b/>
          <w:bCs/>
          <w:sz w:val="32"/>
          <w:szCs w:val="32"/>
        </w:rPr>
        <w:t>（二）实施数字化转型行动</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4.推广应用智能制造装备。</w:t>
      </w:r>
      <w:r>
        <w:rPr>
          <w:rFonts w:ascii="Times New Roman" w:eastAsia="仿宋_GB2312" w:cs="Times New Roman" w:hAnsi="Times New Roman"/>
          <w:sz w:val="32"/>
          <w:szCs w:val="32"/>
        </w:rPr>
        <w:t>以生产作业、仓储物流、质量管控等环节改造为重点，推动数控机床与基础制造装备、增材制造装备、工业机器人、工业控制装备、智能物流装备、传感与检测装备等通用智能制造装备更新。重点推动装备制造业更新面向特定场景的智能成套生产线和柔性生产单元；电子信息制造业推进电子产品专用智能制造装备与自动化装配线集成应用；原材料制造业加快无人运输车辆等新型智能装备部署应用，推进催化裂化、冶炼等重大工艺装备智能化改造升级；消费品制造业推广面向柔性生产、个性化定制等新模式智能装备。</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5.加快建设智能工厂。</w:t>
      </w:r>
      <w:r>
        <w:rPr>
          <w:rFonts w:ascii="Times New Roman" w:eastAsia="仿宋_GB2312" w:cs="Times New Roman" w:hAnsi="Times New Roman"/>
          <w:sz w:val="32"/>
          <w:szCs w:val="32"/>
        </w:rPr>
        <w:t>加快新一代信息技术与制造全过程、全要素深度融合，推进制造技术突破、工艺创新、精益管理、业务流程再造。推动人工智能、第五代移动通信（5G）、边缘计算等新技术在制造环节深度应用，形成一批虚拟试验与调试、工艺数字化设计、智能在线检测等典型场景。推动设备联网和生产环节数字化链接，实现生产数据贯通化、制造柔性化和管理智能化，打造数字化车间。围绕生产、管理、服务等制造全过程开展智能化升级，优化组织结构和业务流程，打造智能工厂。充分发挥工业互联网标识解析体系作用，引导龙头企业带动上下游企业同步改造，打造智慧供应链。</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6.加强数字基础设施建设。</w:t>
      </w:r>
      <w:r>
        <w:rPr>
          <w:rFonts w:ascii="Times New Roman" w:eastAsia="仿宋_GB2312" w:cs="Times New Roman" w:hAnsi="Times New Roman"/>
          <w:sz w:val="32"/>
          <w:szCs w:val="32"/>
        </w:rPr>
        <w:t>加快工业互联网、物联网、5G、千兆光网等新型网络基础设施规模化部署，鼓励工业企业内外网改造。构建工业基础算力资源和应用能力融合体系，加快部署工业边缘数据中心，建设面向特定场景的边缘计算设施，推动“云边端”算力协同发展。加大高性能智算供给，在算力枢纽节点建设智算中心。鼓励大型集团企业、工业园区建立各具特色的工业互联网平台。</w:t>
      </w:r>
    </w:p>
    <w:p>
      <w:pPr>
        <w:pStyle w:val="15"/>
        <w:keepNext w:val="0"/>
        <w:keepLines w:val="0"/>
        <w:widowControl/>
        <w:suppressLineNumbers w:val="0"/>
        <w:spacing w:beforeAutospacing="0" w:afterAutospacing="0" w:line="600" w:lineRule="exact"/>
        <w:ind w:left="0" w:firstLine="420"/>
        <w:rPr>
          <w:rFonts w:ascii="Times New Roman" w:eastAsia="楷体_GB2312" w:cs="Times New Roman" w:hAnsi="Times New Roman"/>
          <w:b/>
          <w:bCs/>
          <w:sz w:val="32"/>
          <w:szCs w:val="32"/>
        </w:rPr>
      </w:pPr>
      <w:r>
        <w:rPr>
          <w:rFonts w:ascii="Times New Roman" w:eastAsia="楷体_GB2312" w:cs="Times New Roman" w:hAnsi="Times New Roman"/>
          <w:b/>
          <w:bCs/>
          <w:sz w:val="32"/>
          <w:szCs w:val="32"/>
        </w:rPr>
        <w:t>（三）实施绿色装备推广行动</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7.加快生产设备绿色化改造。</w:t>
      </w:r>
      <w:r>
        <w:rPr>
          <w:rFonts w:ascii="Times New Roman" w:eastAsia="仿宋_GB2312" w:cs="Times New Roman" w:hAnsi="Times New Roman"/>
          <w:sz w:val="32"/>
          <w:szCs w:val="32"/>
        </w:rPr>
        <w:t>推动重点用能行业、重点环节推广应用节能环保绿色装备。钢铁行业加快对现有高炉、转炉、电炉等全流程开展超低排放改造，争创环保绩效A级；建材行业以现有水泥、玻璃、建筑卫生陶瓷、玻璃纤维等领域减污降碳、节能降耗为重点，改造提升原料制备、窑炉控制、粉磨破碎等相关装备和技术；有色金属行业加快高效稳定铝电解、绿色环保铜冶炼、再生金属冶炼等绿色高效环保装备更新改造；家电等重点轻工行业加快二级及以上高能效设备更新。</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8.推动重点用能设备能效升级。</w:t>
      </w:r>
      <w:r>
        <w:rPr>
          <w:rFonts w:ascii="Times New Roman" w:eastAsia="仿宋_GB2312" w:cs="Times New Roman" w:hAnsi="Times New Roman"/>
          <w:sz w:val="32"/>
          <w:szCs w:val="32"/>
        </w:rPr>
        <w:t>对照《重点用能产品设备能效先进水平、节能水平和准入水平（2024年版）》，以能效水平提升为重点，推动工业等各领域锅炉、电机、变压器、制冷供热空压机、换热器、泵等重点用能设备更新换代，推广应用能效二级及以上节能设备。</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9.加快应用固废处理和节水设备。</w:t>
      </w:r>
      <w:r>
        <w:rPr>
          <w:rFonts w:ascii="Times New Roman" w:eastAsia="仿宋_GB2312" w:cs="Times New Roman" w:hAnsi="Times New Roman"/>
          <w:sz w:val="32"/>
          <w:szCs w:val="32"/>
        </w:rPr>
        <w:t>以主要工业固废产生行业为重点，更新改造工业固废产生量偏高的工艺，升级工业固废和再生资源综合利用设备设施，提升工业资源节约集约利用水平。面向石化化工、钢铁、建材、纺织、造纸、皮革、食品等已出台取（用）水定额国家标准的行业，推进工业节水和废水循环利用，改造工业冷却循环系统和废水处理回用等系统，更新一批冷却塔等设备。</w:t>
      </w:r>
    </w:p>
    <w:p>
      <w:pPr>
        <w:pStyle w:val="15"/>
        <w:keepNext w:val="0"/>
        <w:keepLines w:val="0"/>
        <w:widowControl/>
        <w:suppressLineNumbers w:val="0"/>
        <w:spacing w:beforeAutospacing="0" w:afterAutospacing="0" w:line="600" w:lineRule="exact"/>
        <w:ind w:left="0" w:firstLine="420"/>
        <w:rPr>
          <w:rFonts w:ascii="Times New Roman" w:eastAsia="楷体_GB2312" w:cs="Times New Roman" w:hAnsi="Times New Roman"/>
          <w:b/>
          <w:bCs/>
          <w:sz w:val="32"/>
          <w:szCs w:val="32"/>
        </w:rPr>
      </w:pPr>
      <w:r>
        <w:rPr>
          <w:rFonts w:ascii="Times New Roman" w:eastAsia="楷体_GB2312" w:cs="Times New Roman" w:hAnsi="Times New Roman"/>
          <w:b/>
          <w:bCs/>
          <w:sz w:val="32"/>
          <w:szCs w:val="32"/>
        </w:rPr>
        <w:t>（四）实施本质安全水平提升行动</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10.推动石化化工老旧装置安全改造。</w:t>
      </w:r>
      <w:r>
        <w:rPr>
          <w:rFonts w:ascii="Times New Roman" w:eastAsia="仿宋_GB2312" w:cs="Times New Roman" w:hAnsi="Times New Roman"/>
          <w:sz w:val="32"/>
          <w:szCs w:val="32"/>
        </w:rPr>
        <w:t>推广应用连续化、微反应、超重力反应等工艺技术，反应器优化控制、机泵预测性维护等数字化技术，更新老旧煤气化炉、反应器（釜）、精馏塔、机泵、换热器、储罐等设备。妥善化解老旧装置工艺风险大、动设备故障率高、静设备易泄漏等安全风险，提升行业本质安全水平。</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11.提升民爆行业本质安全水平。</w:t>
      </w:r>
      <w:r>
        <w:rPr>
          <w:rFonts w:ascii="Times New Roman" w:eastAsia="仿宋_GB2312" w:cs="Times New Roman" w:hAnsi="Times New Roman"/>
          <w:sz w:val="32"/>
          <w:szCs w:val="32"/>
        </w:rPr>
        <w:t>以推动工业炸药、工业电子雷管生产线技术升级改造为重点，以危险作业岗位无人化为目标，实施“机械化换人、自动化减人”和“机器人替人”工程，加大安全技术和装备推广应用力度。重点对工业炸药固定生产线、现场混装炸药生产点及现场混装炸药车、雷管装填装配生产线等升级改造。</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b/>
          <w:bCs/>
          <w:sz w:val="32"/>
          <w:szCs w:val="32"/>
        </w:rPr>
        <w:t>12.推广应用先进适用安全装备。</w:t>
      </w:r>
      <w:r>
        <w:rPr>
          <w:rFonts w:ascii="Times New Roman" w:eastAsia="仿宋_GB2312" w:cs="Times New Roman" w:hAnsi="Times New Roman"/>
          <w:sz w:val="32"/>
          <w:szCs w:val="32"/>
        </w:rPr>
        <w:t>加大安全装备在重点领域推广应用，在全社会层面推动安全应急监测预警、消防系统与装备、安全应急智能化装备、个体防护装备等升级改造与配备。围绕工业生产安全事故、地震地质灾害、洪水灾害、城市内涝灾害、城市特殊场景火灾、森林草原火灾、紧急生命救护、社区家庭安全应急等重点场景，推广应用先进可靠安全装备。</w:t>
      </w:r>
    </w:p>
    <w:p>
      <w:pPr>
        <w:pStyle w:val="15"/>
        <w:keepNext w:val="0"/>
        <w:keepLines w:val="0"/>
        <w:widowControl/>
        <w:suppressLineNumbers w:val="0"/>
        <w:spacing w:beforeAutospacing="0" w:afterAutospacing="0" w:line="600" w:lineRule="exact"/>
        <w:ind w:left="0" w:firstLine="420"/>
        <w:rPr>
          <w:rFonts w:ascii="Times New Roman" w:eastAsia="黑体" w:cs="Times New Roman" w:hAnsi="Times New Roman"/>
          <w:sz w:val="32"/>
          <w:szCs w:val="32"/>
        </w:rPr>
      </w:pPr>
      <w:r>
        <w:rPr>
          <w:rFonts w:ascii="Times New Roman" w:eastAsia="黑体" w:cs="Times New Roman" w:hAnsi="Times New Roman"/>
          <w:sz w:val="32"/>
          <w:szCs w:val="32"/>
        </w:rPr>
        <w:t>三、保障措施</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楷体_GB2312" w:cs="Times New Roman" w:hAnsi="Times New Roman"/>
          <w:b/>
          <w:bCs/>
          <w:sz w:val="32"/>
          <w:szCs w:val="32"/>
        </w:rPr>
        <w:t>（一）加大财税支持。</w:t>
      </w:r>
      <w:r>
        <w:rPr>
          <w:rFonts w:ascii="Times New Roman" w:eastAsia="仿宋_GB2312" w:cs="Times New Roman" w:hAnsi="Times New Roman"/>
          <w:sz w:val="32"/>
          <w:szCs w:val="32"/>
        </w:rPr>
        <w:t>加大工业领域设备更新和技术改造财政支持力度，将符合条件的重点项目纳入中央预算内投资等资金支持范围。加大对节能节水、环境保护、安全生产专用设备税收优惠支持力度，把数字化智能化改造纳入优惠范围。</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楷体_GB2312" w:cs="Times New Roman" w:hAnsi="Times New Roman"/>
          <w:b/>
          <w:bCs/>
          <w:sz w:val="32"/>
          <w:szCs w:val="32"/>
        </w:rPr>
        <w:t>（二）强化标准引领。</w:t>
      </w:r>
      <w:r>
        <w:rPr>
          <w:rFonts w:ascii="Times New Roman" w:eastAsia="仿宋_GB2312" w:cs="Times New Roman" w:hAnsi="Times New Roman"/>
          <w:sz w:val="32"/>
          <w:szCs w:val="32"/>
        </w:rPr>
        <w:t>围绕重点行业重点领域制修订一批节能降碳、环保、安全、循环利用等相关标准，实施工业节能与绿色标准化行动，制定《先进安全应急装备（推广）目录》，推广《国家工业和信息化领域节能降碳技术装备推荐目录》，引导企业对标先进标准实施设备更新和技术改造。</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楷体_GB2312" w:cs="Times New Roman" w:hAnsi="Times New Roman"/>
          <w:b/>
          <w:bCs/>
          <w:sz w:val="32"/>
          <w:szCs w:val="32"/>
        </w:rPr>
        <w:t>（三）加强金融支持。</w:t>
      </w:r>
      <w:r>
        <w:rPr>
          <w:rFonts w:ascii="Times New Roman" w:eastAsia="仿宋_GB2312" w:cs="Times New Roman" w:hAnsi="Times New Roman"/>
          <w:sz w:val="32"/>
          <w:szCs w:val="32"/>
        </w:rPr>
        <w:t>设立科技创新和技术改造专项再贷款，引导金融机构加强对设备更新和技术改造的支持。发挥国家产融合作平台作用，编制工业企业技术改造升级导向计划，强化银企对接，向金融机构推荐有融资需求的技术改造重点项目，加大制造业中长期贷款投放。</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楷体_GB2312" w:cs="Times New Roman" w:hAnsi="Times New Roman"/>
          <w:b/>
          <w:bCs/>
          <w:sz w:val="32"/>
          <w:szCs w:val="32"/>
        </w:rPr>
        <w:t>（四）加强要素保障。</w:t>
      </w:r>
      <w:r>
        <w:rPr>
          <w:rFonts w:ascii="Times New Roman" w:eastAsia="仿宋_GB2312" w:cs="Times New Roman" w:hAnsi="Times New Roman"/>
          <w:sz w:val="32"/>
          <w:szCs w:val="32"/>
        </w:rPr>
        <w:t>鼓励地方加强企业技术改造项目要素资源保障，将技术改造项目涉及用地、用能等纳入优先保障范围，对不新增土地、以设备更新为主的技术改造项目，推广承诺备案制，简化前期审批手续。</w:t>
      </w:r>
    </w:p>
    <w:p>
      <w:pPr>
        <w:pStyle w:val="15"/>
        <w:keepNext w:val="0"/>
        <w:keepLines w:val="0"/>
        <w:widowControl/>
        <w:suppressLineNumbers w:val="0"/>
        <w:spacing w:beforeAutospacing="0" w:afterAutospacing="0" w:line="600" w:lineRule="exact"/>
        <w:ind w:left="0" w:firstLine="420"/>
        <w:jc w:val="left"/>
        <w:rPr>
          <w:rFonts w:ascii="Times New Roman" w:eastAsia="仿宋_GB2312" w:cs="Times New Roman" w:hAnsi="Times New Roman"/>
          <w:sz w:val="32"/>
          <w:szCs w:val="32"/>
        </w:rPr>
      </w:pPr>
      <w:r>
        <w:rPr>
          <w:rFonts w:ascii="Times New Roman" w:eastAsia="仿宋_GB2312" w:cs="Times New Roman" w:hAnsi="Times New Roman"/>
          <w:sz w:val="32"/>
          <w:szCs w:val="32"/>
        </w:rPr>
        <w:t>各地区工业和信息化主管部门牵头负责本地区工业领域设备更新工作组织实施，要完善工作机制，做好政策解读，加强协同配合，强化央地联动，建立重点项目库，推动各项任务落实落细。</w:t>
      </w:r>
    </w:p>
    <w:p>
      <w:pPr>
        <w:spacing w:line="600" w:lineRule="exact"/>
        <w:rPr>
          <w:rFonts w:ascii="Times New Roman" w:eastAsia="仿宋_GB2312" w:cs="Times New Roman" w:hAnsi="Times New Roman"/>
          <w:sz w:val="32"/>
          <w:szCs w:val="32"/>
        </w:rPr>
      </w:pPr>
    </w:p>
    <w:sectPr>
      <w:footerReference w:type="default" r:id="rId2"/>
      <w:footerReference w:type="even" r:id="rId3"/>
      <w:footerReference w:type="first" r:id="rId4"/>
      <w:pgSz w:w="11907" w:h="16840"/>
      <w:pgMar w:top="2098" w:right="1474" w:bottom="1985" w:left="1588" w:header="567" w:footer="1361" w:gutter="0"/>
      <w:pgNumType w:fmt="numberInDash"/>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方正书宋_GBK"/>
    <w:panose1 w:val="00000000000000000000"/>
    <w:charset w:val="00"/>
    <w:family w:val="auto"/>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script"/>
    <w:pitch w:val="variable"/>
    <w:sig w:usb0="00000001" w:usb1="080E0000" w:usb2="00000000" w:usb3="00000000" w:csb0="00040000" w:csb1="00000000"/>
  </w:font>
  <w:font w:name="仿宋_GB2312">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00000000" w:usb1="00000000" w:usb2="00000001" w:usb3="00000000" w:csb0="0000019F" w:csb1="00000000"/>
  </w:font>
  <w:font w:name="Arial">
    <w:altName w:val="Nimbus Roman No9 L"/>
    <w:panose1 w:val="020B0604020202020204"/>
    <w:charset w:val="01"/>
    <w:family w:val="swiss"/>
    <w:pitch w:val="variable"/>
    <w:sig w:usb0="E0002AFF" w:usb1="C0007843" w:usb2="00000009"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rPr>
        <w:rFonts w:ascii="宋体" w:cs="宋体" w:hAnsi="宋体" w:hint="eastAsia"/>
        <w:sz w:val="28"/>
        <w:szCs w:val="28"/>
      </w:rPr>
    </w:pPr>
    <w:r>
      <w:rPr>
        <w:rStyle w:val="19"/>
        <w:rFonts w:ascii="宋体" w:cs="宋体" w:hAnsi="宋体" w:hint="eastAsia"/>
        <w:sz w:val="28"/>
        <w:szCs w:val="28"/>
      </w:rPr>
      <w:fldChar w:fldCharType="begin"/>
    </w:r>
    <w:r>
      <w:rPr>
        <w:rStyle w:val="19"/>
        <w:rFonts w:ascii="宋体" w:cs="宋体" w:hAnsi="宋体" w:hint="eastAsia"/>
        <w:sz w:val="28"/>
        <w:szCs w:val="28"/>
      </w:rPr>
      <w:instrText>Page</w:instrText>
    </w:r>
    <w:r>
      <w:rPr>
        <w:rStyle w:val="19"/>
        <w:rFonts w:ascii="宋体" w:cs="宋体" w:hAnsi="宋体" w:hint="eastAsia"/>
        <w:sz w:val="28"/>
        <w:szCs w:val="28"/>
      </w:rPr>
      <w:fldChar w:fldCharType="separate"/>
    </w:r>
    <w:r>
      <w:rPr>
        <w:rStyle w:val="19"/>
        <w:rFonts w:ascii="宋体" w:cs="宋体" w:hAnsi="宋体" w:hint="eastAsia"/>
        <w:sz w:val="28"/>
        <w:szCs w:val="28"/>
      </w:rPr>
      <w:t>— 1 —</w:t>
    </w:r>
    <w:r>
      <w:rPr>
        <w:rStyle w:val="19"/>
        <w:rFonts w:ascii="宋体" w:cs="宋体" w:hAnsi="宋体" w:hint="eastAsia"/>
        <w:sz w:val="28"/>
        <w:szCs w:val="28"/>
      </w:rPr>
      <w:fldChar w:fldCharType="end"/>
    </w:r>
  </w:p>
  <w:p>
    <w:pPr>
      <w:pStyle w:val="18"/>
      <w:tabs>
        <w:tab w:val="center" w:pos="4153"/>
        <w:tab w:val="right" w:pos="8307"/>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Fonts w:hint="eastAsia"/>
      </w:rPr>
      <w:t>— 1 —</w:t>
    </w:r>
    <w:r>
      <w:rPr>
        <w:rStyle w:val="19"/>
      </w:rPr>
      <w:fldChar w:fldCharType="end"/>
    </w:r>
  </w:p>
  <w:p>
    <w:pPr>
      <w:pStyle w:val="18"/>
      <w:tabs>
        <w:tab w:val="center" w:pos="4153"/>
        <w:tab w:val="right" w:pos="8307"/>
      </w:tabs>
      <w:ind w:right="360" w:firstLine="360"/>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Fonts w:hint="eastAsia"/>
      </w:rPr>
      <w:t>— 1 —</w:t>
    </w:r>
    <w:r>
      <w:rPr>
        <w:rStyle w:val="19"/>
      </w:rPr>
      <w:fldChar w:fldCharType="end"/>
    </w:r>
  </w:p>
  <w:p>
    <w:pPr>
      <w:pStyle w:val="18"/>
      <w:tabs>
        <w:tab w:val="center" w:pos="4153"/>
        <w:tab w:val="right" w:pos="8307"/>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noLineBreaksAfter w:lang="zh-CN" w:val="$([{£¥·‘“〈《「『【〔〖〝﹙﹛﹝＄（．［｛￡￥"/>
  <w:noLineBreaksBefore w:lang="zh-CN" w:val="!%),.:;&gt;?]}¢¨°·ˇˉ―‖’”…‰′″›℃∶、。〃〉》」』】〕〗〞︶︺︾﹀﹄﹚﹜﹞！＂％＇），．：；？］｀｜｝～￠"/>
  <w:compat>
    <w:spaceForUL/>
    <w:balanceSingleByteDoubleByteWidth/>
    <w:ulTrailSpace/>
    <w:doNotExpandShiftReturn/>
    <w:adjustLineHeightInTable/>
    <w:doNotUseIndentAsNumberingTabStop/>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Arial" w:hAnsi="Times New Roman"/>
      <w:kern w:val="2"/>
      <w:sz w:val="21"/>
      <w:szCs w:val="22"/>
      <w:lang w:val="en-US" w:eastAsia="zh-CN" w:bidi="ar-SA"/>
    </w:rPr>
  </w:style>
  <w:style w:type="paragraph" w:styleId="1">
    <w:name w:val="heading 1"/>
    <w:basedOn w:val="0"/>
    <w:next w:val="0"/>
    <w:pPr>
      <w:spacing w:before="0" w:beforeAutospacing="1" w:after="0" w:afterAutospacing="1"/>
      <w:jc w:val="left"/>
      <w:outlineLvl w:val="0"/>
    </w:pPr>
    <w:rPr>
      <w:rFonts w:ascii="宋体" w:eastAsia="宋体" w:cs="宋体" w:hAnsi="宋体"/>
      <w:b/>
      <w:kern w:val="44"/>
      <w:sz w:val="48"/>
      <w:szCs w:val="48"/>
      <w:lang w:val="en-US" w:eastAsia="zh-CN"/>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spacing w:before="0" w:beforeAutospacing="1" w:after="0" w:afterAutospacing="1"/>
      <w:ind w:left="0" w:right="0"/>
      <w:jc w:val="left"/>
    </w:pPr>
    <w:rPr>
      <w:kern w:val="0"/>
      <w:sz w:val="24"/>
      <w:lang w:val="en-US" w:eastAsia="zh-CN"/>
    </w:rPr>
  </w:style>
  <w:style w:type="character" w:styleId="16">
    <w:name w:val="Strong"/>
    <w:basedOn w:val="10"/>
    <w:rPr>
      <w:b/>
    </w:rPr>
  </w:style>
  <w:style w:type="paragraph" w:styleId="17">
    <w:name w:val="header"/>
    <w:basedOn w:val="0"/>
    <w:pPr>
      <w:pBdr>
        <w:bottom w:val="single" w:sz="6" w:space="1" w:color="auto"/>
      </w:pBdr>
      <w:tabs>
        <w:tab w:val="center" w:pos="4153"/>
        <w:tab w:val="right" w:pos="8307"/>
      </w:tabs>
      <w:snapToGrid w:val="0"/>
      <w:jc w:val="center"/>
    </w:pPr>
    <w:rPr>
      <w:sz w:val="18"/>
      <w:szCs w:val="18"/>
    </w:rPr>
  </w:style>
  <w:style w:type="paragraph" w:styleId="18">
    <w:name w:val="footer"/>
    <w:basedOn w:val="0"/>
    <w:pPr>
      <w:tabs>
        <w:tab w:val="center" w:pos="4153"/>
        <w:tab w:val="right" w:pos="8307"/>
      </w:tabs>
      <w:snapToGrid w:val="0"/>
      <w:jc w:val="left"/>
    </w:pPr>
    <w:rPr>
      <w:sz w:val="18"/>
      <w:szCs w:val="18"/>
    </w:rPr>
  </w:style>
  <w:style w:type="character" w:styleId="19">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pgNumType="\* ArabicDash2"/>
  </customProps>
</customData>
</file>

<file path=customXml/itemProps1.xml><?xml version="1.0" encoding="utf-8"?>
<ds:datastoreItem xmlns:ds="http://schemas.openxmlformats.org/officeDocument/2006/customXml" ds:itemID="{F1EFA967-0BBB-4668-A51A-B49DBA2BDCB0}">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329</TotalTime>
  <Application>Yozo_Office27021597764231179</Application>
  <Pages>9</Pages>
  <Words>0</Words>
  <Characters>3057</Characters>
  <Lines>0</Lines>
  <Paragraphs>54</Paragraphs>
  <CharactersWithSpaces>4077</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user</cp:lastModifiedBy>
  <cp:revision>1</cp:revision>
  <dcterms:created xsi:type="dcterms:W3CDTF">2021-05-08T15:28:00Z</dcterms:created>
  <dcterms:modified xsi:type="dcterms:W3CDTF">2024-04-23T07:34:33Z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2052-11.8.2.9864</vt:lpwstr>
  </property>
</Properties>
</file>