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keepNext w:val="0"/>
        <w:keepLines w:val="0"/>
        <w:widowControl/>
        <w:suppressLineNumbers w:val="0"/>
        <w:spacing w:beforeAutospacing="0" w:afterAutospacing="0" w:line="760" w:lineRule="exact"/>
        <w:ind w:left="0"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国务院关于印发《推动大规模设备更新和消费品以旧换新行动方案》的通知</w:t>
      </w:r>
    </w:p>
    <w:p>
      <w:pPr>
        <w:pStyle w:val="15"/>
        <w:keepNext w:val="0"/>
        <w:keepLines w:val="0"/>
        <w:widowControl/>
        <w:suppressLineNumbers w:val="0"/>
        <w:spacing w:beforeAutospacing="0" w:afterAutospacing="0" w:line="600" w:lineRule="exact"/>
        <w:ind w:left="0" w:firstLine="0"/>
        <w:jc w:val="center"/>
        <w:rPr>
          <w:rFonts w:ascii="Times New Roman" w:eastAsia="仿宋_GB2312" w:cs="Times New Roman" w:hAnsi="Times New Roman"/>
          <w:b/>
          <w:color w:val="0033FF"/>
          <w:sz w:val="32"/>
          <w:szCs w:val="32"/>
        </w:rPr>
      </w:pPr>
    </w:p>
    <w:p>
      <w:pPr>
        <w:pStyle w:val="15"/>
        <w:keepNext w:val="0"/>
        <w:keepLines w:val="0"/>
        <w:widowControl/>
        <w:suppressLineNumbers w:val="0"/>
        <w:spacing w:beforeAutospacing="0" w:afterAutospacing="0" w:line="600" w:lineRule="exact"/>
        <w:ind w:left="0" w:firstLine="0"/>
        <w:jc w:val="center"/>
        <w:rPr>
          <w:rFonts w:ascii="Times New Roman" w:eastAsia="仿宋_GB2312" w:cs="Times New Roman" w:hAnsi="Times New Roman"/>
          <w:sz w:val="32"/>
          <w:szCs w:val="32"/>
        </w:rPr>
      </w:pPr>
      <w:r>
        <w:rPr>
          <w:rFonts w:ascii="Times New Roman" w:eastAsia="仿宋_GB2312" w:cs="Times New Roman" w:hAnsi="Times New Roman"/>
          <w:sz w:val="32"/>
          <w:szCs w:val="32"/>
        </w:rPr>
        <w:t>国发〔2024〕7号</w:t>
      </w:r>
    </w:p>
    <w:p>
      <w:pPr>
        <w:pStyle w:val="15"/>
        <w:keepNext w:val="0"/>
        <w:keepLines w:val="0"/>
        <w:widowControl/>
        <w:suppressLineNumbers w:val="0"/>
        <w:spacing w:beforeAutospacing="0" w:afterAutospacing="0" w:line="600" w:lineRule="exact"/>
        <w:ind w:left="0" w:firstLine="0"/>
        <w:jc w:val="center"/>
        <w:rPr>
          <w:rFonts w:ascii="Times New Roman" w:eastAsia="仿宋_GB2312" w:cs="Times New Roman" w:hAnsi="Times New Roman"/>
          <w:b/>
          <w:color w:val="0033FF"/>
          <w:sz w:val="32"/>
          <w:szCs w:val="32"/>
        </w:rPr>
      </w:pPr>
    </w:p>
    <w:p>
      <w:pPr>
        <w:pStyle w:val="15"/>
        <w:keepNext w:val="0"/>
        <w:keepLines w:val="0"/>
        <w:widowControl/>
        <w:suppressLineNumbers w:val="0"/>
        <w:spacing w:beforeAutospacing="0" w:afterAutospacing="0" w:line="600" w:lineRule="exact"/>
        <w:ind w:left="0" w:firstLine="0"/>
        <w:rPr>
          <w:rFonts w:ascii="Times New Roman" w:eastAsia="仿宋_GB2312" w:cs="Times New Roman" w:hAnsi="Times New Roman"/>
          <w:sz w:val="32"/>
          <w:szCs w:val="32"/>
        </w:rPr>
      </w:pPr>
      <w:r>
        <w:rPr>
          <w:rFonts w:ascii="Times New Roman" w:eastAsia="仿宋_GB2312" w:cs="Times New Roman" w:hAnsi="Times New Roman"/>
          <w:sz w:val="32"/>
          <w:szCs w:val="32"/>
        </w:rPr>
        <w:t>各省、自治区、直辖市人民政府，国务院各部委、各直属机构：</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现将《推动大规模设备更新和消费品以旧换新行动方案》印发给你们，请认真贯彻执行。</w:t>
      </w:r>
    </w:p>
    <w:p>
      <w:pPr>
        <w:pStyle w:val="15"/>
        <w:keepNext w:val="0"/>
        <w:keepLines w:val="0"/>
        <w:widowControl/>
        <w:suppressLineNumbers w:val="0"/>
        <w:spacing w:beforeAutospacing="0" w:afterAutospacing="0" w:line="600" w:lineRule="exact"/>
        <w:ind w:left="0" w:firstLine="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0"/>
        <w:jc w:val="center"/>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国务院</w:t>
      </w:r>
    </w:p>
    <w:p>
      <w:pPr>
        <w:pStyle w:val="15"/>
        <w:keepNext w:val="0"/>
        <w:keepLines w:val="0"/>
        <w:widowControl/>
        <w:suppressLineNumbers w:val="0"/>
        <w:wordWrap w:val="0"/>
        <w:spacing w:beforeAutospacing="0" w:afterAutospacing="0" w:line="600" w:lineRule="exact"/>
        <w:ind w:left="0" w:firstLine="0"/>
        <w:jc w:val="right"/>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2024年3月7日        </w:t>
      </w:r>
    </w:p>
    <w:p>
      <w:pPr>
        <w:pStyle w:val="15"/>
        <w:keepNext w:val="0"/>
        <w:keepLines w:val="0"/>
        <w:widowControl/>
        <w:suppressLineNumbers w:val="0"/>
        <w:spacing w:beforeAutospacing="0" w:afterAutospacing="0" w:line="600" w:lineRule="exact"/>
        <w:ind w:left="0" w:firstLineChars="100" w:firstLine="320"/>
        <w:rPr>
          <w:rFonts w:ascii="Times New Roman" w:eastAsia="仿宋_GB2312" w:cs="Times New Roman" w:hAnsi="Times New Roman"/>
          <w:sz w:val="32"/>
          <w:szCs w:val="32"/>
        </w:rPr>
      </w:pPr>
      <w:r>
        <w:rPr>
          <w:rFonts w:ascii="Times New Roman" w:eastAsia="仿宋_GB2312" w:cs="Times New Roman" w:hAnsi="Times New Roman"/>
          <w:sz w:val="32"/>
          <w:szCs w:val="32"/>
        </w:rPr>
        <w:t>（此件公开发布）</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760" w:lineRule="exact"/>
        <w:ind w:left="0"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推动大规模设备更新和消费品以旧换新</w:t>
      </w:r>
    </w:p>
    <w:p>
      <w:pPr>
        <w:pStyle w:val="15"/>
        <w:keepNext w:val="0"/>
        <w:keepLines w:val="0"/>
        <w:widowControl/>
        <w:suppressLineNumbers w:val="0"/>
        <w:spacing w:beforeAutospacing="0" w:afterAutospacing="0" w:line="760" w:lineRule="exact"/>
        <w:ind w:left="0" w:firstLine="0"/>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行动方案</w:t>
      </w:r>
    </w:p>
    <w:p>
      <w:pPr>
        <w:pStyle w:val="15"/>
        <w:keepNext w:val="0"/>
        <w:keepLines w:val="0"/>
        <w:widowControl/>
        <w:suppressLineNumbers w:val="0"/>
        <w:spacing w:beforeAutospacing="0" w:afterAutospacing="0" w:line="400" w:lineRule="exact"/>
        <w:ind w:left="0" w:firstLine="0"/>
        <w:jc w:val="center"/>
        <w:rPr>
          <w:rFonts w:ascii="Times New Roman" w:eastAsia="仿宋_GB2312" w:cs="Times New Roman" w:hAnsi="Times New Roman"/>
          <w:b/>
          <w:color w:val="0033FF"/>
          <w:sz w:val="32"/>
          <w:szCs w:val="32"/>
        </w:rPr>
      </w:pP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推动大规模设备更新和消费品以旧换新是加快构建新发展格局、推动高质量发展的重要举措，将有力促进投资和消费，既利当前、更利长远。为贯彻落实党中央决策部署，现就推动新一轮大规模设备更新和消费品以</w:t>
      </w:r>
      <w:bookmarkStart w:id="0" w:name="_GoBack"/>
      <w:bookmarkEnd w:id="0"/>
      <w:r>
        <w:rPr>
          <w:rFonts w:ascii="Times New Roman" w:eastAsia="仿宋_GB2312" w:cs="Times New Roman" w:hAnsi="Times New Roman"/>
          <w:sz w:val="32"/>
          <w:szCs w:val="32"/>
        </w:rPr>
        <w:t>旧换新，制定如下行动方案。</w:t>
      </w:r>
    </w:p>
    <w:p>
      <w:pPr>
        <w:pStyle w:val="15"/>
        <w:keepNext w:val="0"/>
        <w:keepLines w:val="0"/>
        <w:widowControl/>
        <w:suppressLineNumbers w:val="0"/>
        <w:spacing w:beforeAutospacing="0" w:afterAutospacing="0" w:line="600" w:lineRule="exact"/>
        <w:ind w:left="0" w:firstLine="420"/>
        <w:rPr>
          <w:rFonts w:ascii="Times New Roman" w:eastAsia="黑体" w:cs="Times New Roman" w:hAnsi="Times New Roman"/>
          <w:sz w:val="32"/>
          <w:szCs w:val="32"/>
        </w:rPr>
      </w:pPr>
      <w:r>
        <w:rPr>
          <w:rStyle w:val="16"/>
          <w:rFonts w:ascii="Times New Roman" w:eastAsia="黑体" w:cs="Times New Roman" w:hAnsi="Times New Roman"/>
          <w:b w:val="0"/>
          <w:sz w:val="32"/>
          <w:szCs w:val="32"/>
        </w:rPr>
        <w:t>一、总体要求</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推动大规模设备更新和消费品以旧换新，要以习近平新时代中国特色社会主义思想为指导，深入贯彻党的二十大精神，贯彻落实中央经济工作会议和中央财经委员会第四次会议部署，统筹扩大内需和深化供给侧结构性改革，实施设备更新、消费品以旧换新、回收循环利用、标准提升四大行动，大力促进先进设备生产应用，推动先进产能比重持续提升，推动高质量耐用消费品更多进入居民生活，畅通资源循环利用链条，大幅提高国民经济循环质量和水平。</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坚持市场为主、政府引导。充分发挥市场配置资源的决定性作用，结合各类设备和消费品更新换代差异化需求，依靠市场提供多样化供给和服务。更好发挥政府作用，加大财税、金融、投资等政策支持力度，打好政策组合拳，引导商家适度让利，形成更新换代规模效应。</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——坚持鼓励先进、淘汰落后。建立激励和约束相结合的长效机制，加快淘汰落后产品设备，提升安全可靠水平，促进产业高端化、智能化、绿色化发展。加快建设全国统一大市场，破除地方保护。</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——坚持标准引领、有序提升。对标国际先进水平，结合产业发展实际，加快制定修订节能降碳、环保、安全、循环利用等领域标准。统筹考虑企业承受能力和消费者接受程度，有序推动标准落地实施。</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到2027年，工业、农业、建筑、交通、教育、文旅、医疗等领域设备投资规模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45%，废旧家电回收量较2023年增长30%，再生材料在资源供给中的占比进一步提升。</w:t>
      </w:r>
    </w:p>
    <w:p>
      <w:pPr>
        <w:pStyle w:val="15"/>
        <w:keepNext w:val="0"/>
        <w:keepLines w:val="0"/>
        <w:widowControl/>
        <w:suppressLineNumbers w:val="0"/>
        <w:spacing w:beforeAutospacing="0" w:afterAutospacing="0" w:line="600" w:lineRule="exact"/>
        <w:ind w:left="0" w:firstLine="420"/>
        <w:rPr>
          <w:rStyle w:val="16"/>
          <w:rFonts w:ascii="Times New Roman" w:eastAsia="黑体" w:cs="Times New Roman" w:hAnsi="Times New Roman"/>
          <w:b w:val="0"/>
          <w:sz w:val="32"/>
          <w:szCs w:val="32"/>
        </w:rPr>
      </w:pPr>
      <w:r>
        <w:rPr>
          <w:rStyle w:val="16"/>
          <w:rFonts w:ascii="Times New Roman" w:eastAsia="黑体" w:cs="Times New Roman" w:hAnsi="Times New Roman"/>
          <w:b w:val="0"/>
          <w:sz w:val="32"/>
          <w:szCs w:val="32"/>
        </w:rPr>
        <w:t>二、实施设备更新行动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（一）推进重点行业设备更新改造。</w:t>
      </w:r>
      <w:r>
        <w:rPr>
          <w:rFonts w:ascii="Times New Roman" w:eastAsia="仿宋_GB2312" w:cs="Times New Roman" w:hAnsi="Times New Roman"/>
          <w:sz w:val="32"/>
          <w:szCs w:val="32"/>
        </w:rPr>
        <w:t>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节能降碳改造。推广应用智能制造设备和软件，加快工业互联网建设和普及应用，培育数字经济赋智赋能新模式。严格落实能耗、排放、安全等强制性标准和设备淘汰目录要求，依法依规淘汰不达标设备。</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（二）加快建筑和市政基础设施领域设备更新。</w:t>
      </w:r>
      <w:r>
        <w:rPr>
          <w:rFonts w:ascii="Times New Roman" w:eastAsia="仿宋_GB2312" w:cs="Times New Roman" w:hAnsi="Times New Roman"/>
          <w:sz w:val="32"/>
          <w:szCs w:val="32"/>
        </w:rPr>
        <w:t>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配套物联智能感知设备建设。加快重点公共区域和道路视频监控等安防设备改造。</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（三）支持交通运输设备和老旧农业机械更新。</w:t>
      </w:r>
      <w:r>
        <w:rPr>
          <w:rFonts w:ascii="Times New Roman" w:eastAsia="仿宋_GB2312" w:cs="Times New Roman" w:hAnsi="Times New Roman"/>
          <w:sz w:val="32"/>
          <w:szCs w:val="32"/>
        </w:rPr>
        <w:t>持续推进城市公交车电动化替代，支持老旧新能源公交车和动力电池更新换代。加快淘汰国三及以下排放标准营运类柴油货车。加强电动、氢能等绿色航空装备产业化能力建设。加快高耗能高排放老旧船舶报废更新，大力支持新能源动力船舶发展，完善新能源动力船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（四）提升教育文旅医疗设备水平。</w:t>
      </w:r>
      <w:r>
        <w:rPr>
          <w:rFonts w:ascii="Times New Roman" w:eastAsia="仿宋_GB2312" w:cs="Times New Roman" w:hAnsi="Times New Roman"/>
          <w:sz w:val="32"/>
          <w:szCs w:val="32"/>
        </w:rPr>
        <w:t>推动符合条件的高校、职业院校（含技工院校）更新置换先进教学及科研技术设备，提升教学科研水平。严格落实学科教学装备配置标准，保质保量配置并及时更新教学仪器设备。推进索道缆车、游乐设备、演艺设备等文旅设备更新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pPr>
        <w:pStyle w:val="15"/>
        <w:keepNext w:val="0"/>
        <w:keepLines w:val="0"/>
        <w:widowControl/>
        <w:suppressLineNumbers w:val="0"/>
        <w:spacing w:beforeAutospacing="0" w:afterAutospacing="0" w:line="600" w:lineRule="exact"/>
        <w:ind w:left="0" w:firstLine="420"/>
        <w:rPr>
          <w:rStyle w:val="16"/>
          <w:rFonts w:ascii="Times New Roman" w:eastAsia="黑体" w:cs="Times New Roman" w:hAnsi="Times New Roman"/>
          <w:b w:val="0"/>
          <w:sz w:val="32"/>
          <w:szCs w:val="32"/>
        </w:rPr>
      </w:pPr>
      <w:r>
        <w:rPr>
          <w:rStyle w:val="16"/>
          <w:rFonts w:ascii="Times New Roman" w:eastAsia="黑体" w:cs="Times New Roman" w:hAnsi="Times New Roman"/>
          <w:b w:val="0"/>
          <w:sz w:val="32"/>
          <w:szCs w:val="32"/>
        </w:rPr>
        <w:t>三、实施消费品以旧换新行动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（五）开展汽车以旧换新。</w:t>
      </w:r>
      <w:r>
        <w:rPr>
          <w:rFonts w:ascii="Times New Roman" w:eastAsia="仿宋_GB2312" w:cs="Times New Roman" w:hAnsi="Times New Roman"/>
          <w:sz w:val="32"/>
          <w:szCs w:val="32"/>
        </w:rPr>
        <w:t>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（六）开展家电产品以旧换新。</w:t>
      </w:r>
      <w:r>
        <w:rPr>
          <w:rFonts w:ascii="Times New Roman" w:eastAsia="仿宋_GB2312" w:cs="Times New Roman" w:hAnsi="Times New Roman"/>
          <w:sz w:val="32"/>
          <w:szCs w:val="32"/>
        </w:rPr>
        <w:t>以提升便利性为核心，畅通家电更新消费链条。支持家电销售企业联合生产企业、回收企业开展以旧换新促销活动，开设线上线下家电以旧换新专区，对以旧家电换购节能家电的消费者给予优惠。鼓励有条件的地方对消费者购买绿色智能家电给予补贴。加快实施家电售后服务提升行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（七）推动家装消费品换新。</w:t>
      </w:r>
      <w:r>
        <w:rPr>
          <w:rFonts w:ascii="Times New Roman" w:eastAsia="仿宋_GB2312" w:cs="Times New Roman" w:hAnsi="Times New Roman"/>
          <w:sz w:val="32"/>
          <w:szCs w:val="32"/>
        </w:rPr>
        <w:t>通过政府支持、企业让利等多种方式，支持居民开展旧房装修、厨卫等局部改造，持续推进居家适老化改造，积极培育智能家居等新型消费。推动家装样板间进商场、进社区、进平台，鼓励企业打造线上样板间，提供价格实惠的产品和服务，满足多样化消费需求。</w:t>
      </w:r>
    </w:p>
    <w:p>
      <w:pPr>
        <w:pStyle w:val="15"/>
        <w:keepNext w:val="0"/>
        <w:keepLines w:val="0"/>
        <w:widowControl/>
        <w:suppressLineNumbers w:val="0"/>
        <w:spacing w:beforeAutospacing="0" w:afterAutospacing="0" w:line="600" w:lineRule="exact"/>
        <w:ind w:left="0" w:firstLine="420"/>
        <w:rPr>
          <w:rStyle w:val="16"/>
          <w:rFonts w:ascii="Times New Roman" w:eastAsia="黑体" w:cs="Times New Roman" w:hAnsi="Times New Roman"/>
          <w:b w:val="0"/>
          <w:sz w:val="32"/>
          <w:szCs w:val="32"/>
        </w:rPr>
      </w:pPr>
      <w:r>
        <w:rPr>
          <w:rStyle w:val="16"/>
          <w:rFonts w:ascii="Times New Roman" w:eastAsia="黑体" w:cs="Times New Roman" w:hAnsi="Times New Roman"/>
          <w:b w:val="0"/>
          <w:sz w:val="32"/>
          <w:szCs w:val="32"/>
        </w:rPr>
        <w:t>四、实施回收循环利用行动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（八）完善废旧产品设备回收网络。</w:t>
      </w:r>
      <w:r>
        <w:rPr>
          <w:rFonts w:ascii="Times New Roman" w:eastAsia="仿宋_GB2312" w:cs="Times New Roman" w:hAnsi="Times New Roman"/>
          <w:sz w:val="32"/>
          <w:szCs w:val="32"/>
        </w:rPr>
        <w:t>加快“换新+回收”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（九）支持二手商品流通交易。</w:t>
      </w:r>
      <w:r>
        <w:rPr>
          <w:rFonts w:ascii="Times New Roman" w:eastAsia="仿宋_GB2312" w:cs="Times New Roman" w:hAnsi="Times New Roman"/>
          <w:sz w:val="32"/>
          <w:szCs w:val="32"/>
        </w:rPr>
        <w:t>持续优化二手车交易登记管理，促进便利交易。大力发展二手车出口业务。推动二手电子产品交易规范化，防范泄露及恶意恢复用户信息。推动二手商品交易平台企业建立健全平台内经销企业、用户的评价机制，加强信用记录、违法失信行为等信息共享。支持电子产品生产企业发展二手交易、翻新维修等业务。</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（十）有序推进再制造和梯次利用。</w:t>
      </w:r>
      <w:r>
        <w:rPr>
          <w:rFonts w:ascii="Times New Roman" w:eastAsia="仿宋_GB2312" w:cs="Times New Roman" w:hAnsi="Times New Roman"/>
          <w:sz w:val="32"/>
          <w:szCs w:val="32"/>
        </w:rPr>
        <w:t>鼓励对具备条件的废旧生产设备实施再制造，再制造产品设备质量特性和安全环保性能应不低于原型新品。推广应用无损检测、增材制造、柔性加工等技术工艺，提升再制造加工水平。深入推进汽车零部件、工程机械、机床等传统设备再制造，探索在风电光伏、航空等新兴领域开展高端装备再制造业务。加快风电光伏、动力电池等产品设备残余寿命评估技术研发，有序推进产品设备及关键部件梯次利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（十一）推动资源高水平再生利用。</w:t>
      </w:r>
      <w:r>
        <w:rPr>
          <w:rFonts w:ascii="Times New Roman" w:eastAsia="仿宋_GB2312" w:cs="Times New Roman" w:hAnsi="Times New Roman"/>
          <w:sz w:val="32"/>
          <w:szCs w:val="32"/>
        </w:rPr>
        <w:t>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pPr>
        <w:pStyle w:val="15"/>
        <w:keepNext w:val="0"/>
        <w:keepLines w:val="0"/>
        <w:widowControl/>
        <w:suppressLineNumbers w:val="0"/>
        <w:spacing w:beforeAutospacing="0" w:afterAutospacing="0" w:line="600" w:lineRule="exact"/>
        <w:ind w:left="0" w:firstLine="420"/>
        <w:rPr>
          <w:rStyle w:val="16"/>
          <w:rFonts w:ascii="Times New Roman" w:eastAsia="黑体" w:cs="Times New Roman" w:hAnsi="Times New Roman"/>
          <w:b w:val="0"/>
          <w:sz w:val="32"/>
          <w:szCs w:val="32"/>
        </w:rPr>
      </w:pPr>
      <w:r>
        <w:rPr>
          <w:rStyle w:val="16"/>
          <w:rFonts w:ascii="Times New Roman" w:eastAsia="黑体" w:cs="Times New Roman" w:hAnsi="Times New Roman"/>
          <w:b w:val="0"/>
          <w:sz w:val="32"/>
          <w:szCs w:val="32"/>
        </w:rPr>
        <w:t>五、实施标准提升行动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（十二）加快完善能耗、排放、技术标准。</w:t>
      </w:r>
      <w:r>
        <w:rPr>
          <w:rFonts w:ascii="Times New Roman" w:eastAsia="仿宋_GB2312" w:cs="Times New Roman" w:hAnsi="Times New Roman"/>
          <w:sz w:val="32"/>
          <w:szCs w:val="32"/>
        </w:rPr>
        <w:t>对标国际先进水平，加快制修订一批能耗限额、产品设备能效强制性国家标准，动态更新重点用能产品设备能效先进水平、节能水平和准入水平，加快提升节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伏设备及产品升级与退役等标准。</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（十三）强化产品技术标准提升。</w:t>
      </w:r>
      <w:r>
        <w:rPr>
          <w:rFonts w:ascii="Times New Roman" w:eastAsia="仿宋_GB2312" w:cs="Times New Roman" w:hAnsi="Times New Roman"/>
          <w:sz w:val="32"/>
          <w:szCs w:val="32"/>
        </w:rPr>
        <w:t>聚焦汽车、家电、家居产品、消费电子、民用无人机等大宗消费品，加快安全、健康、性能、环保、检测等标准升级。加快完善家电产品质量安全标准体系，大力普及家电安全使用年限和节能知识。加快升级消费品质量标准，制定消费品质量安全监管目录，严格质量安全监管。完善碳标签等标准体系，充分发挥标准引领、绿色认证、高端认证等作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（十四）加强资源循环利用标准供给。</w:t>
      </w:r>
      <w:r>
        <w:rPr>
          <w:rFonts w:ascii="Times New Roman" w:eastAsia="仿宋_GB2312" w:cs="Times New Roman" w:hAnsi="Times New Roman"/>
          <w:sz w:val="32"/>
          <w:szCs w:val="32"/>
        </w:rPr>
        <w:t>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（十五）强化重点领域国内国际标准衔接。</w:t>
      </w:r>
      <w:r>
        <w:rPr>
          <w:rFonts w:ascii="Times New Roman" w:eastAsia="仿宋_GB2312" w:cs="Times New Roman" w:hAnsi="Times New Roman"/>
          <w:sz w:val="32"/>
          <w:szCs w:val="32"/>
        </w:rPr>
        <w:t>建立完善国际标准一致性跟踪转化机制，开展我国标准与相关国际标准比对分析，转化一批先进适用国际标准，不断提高国际标准转化率。支持国内机构积极参与国际标准制修订，支持新能源汽车等重点行业标准走出去。加强质量标准、检验检疫、认证认可等国内国际衔接。</w:t>
      </w:r>
    </w:p>
    <w:p>
      <w:pPr>
        <w:pStyle w:val="15"/>
        <w:keepNext w:val="0"/>
        <w:keepLines w:val="0"/>
        <w:widowControl/>
        <w:suppressLineNumbers w:val="0"/>
        <w:spacing w:beforeAutospacing="0" w:afterAutospacing="0" w:line="600" w:lineRule="exact"/>
        <w:ind w:left="0" w:firstLine="420"/>
        <w:rPr>
          <w:rStyle w:val="16"/>
          <w:rFonts w:ascii="Times New Roman" w:eastAsia="黑体" w:cs="Times New Roman" w:hAnsi="Times New Roman"/>
          <w:b w:val="0"/>
          <w:sz w:val="32"/>
          <w:szCs w:val="32"/>
        </w:rPr>
      </w:pPr>
      <w:r>
        <w:rPr>
          <w:rStyle w:val="16"/>
          <w:rFonts w:ascii="Times New Roman" w:eastAsia="黑体" w:cs="Times New Roman" w:hAnsi="Times New Roman"/>
          <w:b w:val="0"/>
          <w:sz w:val="32"/>
          <w:szCs w:val="32"/>
        </w:rPr>
        <w:t>六、强化政策保障</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（十六）加大财政政策支持力度。</w:t>
      </w:r>
      <w:r>
        <w:rPr>
          <w:rFonts w:ascii="Times New Roman" w:eastAsia="仿宋_GB2312" w:cs="Times New Roman" w:hAnsi="Times New Roman"/>
          <w:sz w:val="32"/>
          <w:szCs w:val="32"/>
        </w:rPr>
        <w:t>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（十七）完善税收支持政策。</w:t>
      </w:r>
      <w:r>
        <w:rPr>
          <w:rFonts w:ascii="Times New Roman" w:eastAsia="仿宋_GB2312" w:cs="Times New Roman" w:hAnsi="Times New Roman"/>
          <w:sz w:val="32"/>
          <w:szCs w:val="32"/>
        </w:rPr>
        <w:t>加大对节能节水、环境保护、安全生产专用设备税收优惠支持力度，把数字化智能化改造纳入优惠范围。推广资源回收企业向自然人报废产品出售者“反向开票”做法。配合再生资源回收企业增值税简易征收政策，研究完善所得税征管配套措施，优化税收征管标准和方式。</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（十八）优化金融支持。</w:t>
      </w:r>
      <w:r>
        <w:rPr>
          <w:rFonts w:ascii="Times New Roman" w:eastAsia="仿宋_GB2312" w:cs="Times New Roman" w:hAnsi="Times New Roman"/>
          <w:sz w:val="32"/>
          <w:szCs w:val="32"/>
        </w:rPr>
        <w:t>运用再贷款政策工具，引导金融机构加强对设备更新和技术改造的支持；中央财政对符合再贷款报销条件的银行贷款给予一定贴息支持。发挥扩大制造业中长期贷款投放工作机制作用。引导银行机构合理增加绿色信贷，加强对绿色智能家电生产、服务和消费的金融支持。鼓励银行机构在依法合规、风险可控前提下，适当降低乘用车贷款首付比例，合理确定汽车贷款期限、信贷额度。</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（十九）加强要素保障。</w:t>
      </w:r>
      <w:r>
        <w:rPr>
          <w:rFonts w:ascii="Times New Roman" w:eastAsia="仿宋_GB2312" w:cs="Times New Roman" w:hAnsi="Times New Roman"/>
          <w:sz w:val="32"/>
          <w:szCs w:val="32"/>
        </w:rPr>
        <w:t>加强企业技术改造项目用地、用能等要素保障。对不新增用地、以设备更新为主的技术改造项目，简化前期审批手续。统筹区域内生活垃圾分类收集、中转贮存及再生资源回收设施建设，将其纳入公共基础设施用地范围，保障合理用地需求。</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楷体_GB2312" w:cs="Times New Roman" w:hAnsi="Times New Roman"/>
          <w:b/>
          <w:bCs/>
          <w:sz w:val="32"/>
          <w:szCs w:val="32"/>
        </w:rPr>
        <w:t>（二十）强化创新支撑。</w:t>
      </w:r>
      <w:r>
        <w:rPr>
          <w:rFonts w:ascii="Times New Roman" w:eastAsia="仿宋_GB2312" w:cs="Times New Roman" w:hAnsi="Times New Roman"/>
          <w:sz w:val="32"/>
          <w:szCs w:val="32"/>
        </w:rPr>
        <w:t>聚焦长期困扰传统产业转型升级的产业基础、重大技术装备“卡脖子”难题，积极开展重大技术装备科技攻关。完善“揭榜挂帅”、“赛马”和创新产品迭代等机制，强化制造业中试能力支撑，加快创新成果产业化应用。</w:t>
      </w:r>
    </w:p>
    <w:p>
      <w:pPr>
        <w:pStyle w:val="15"/>
        <w:keepNext w:val="0"/>
        <w:keepLines w:val="0"/>
        <w:widowControl/>
        <w:suppressLineNumbers w:val="0"/>
        <w:spacing w:beforeAutospacing="0" w:afterAutospacing="0" w:line="60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各地区、各部门要在党中央集中统一领导下，完善工作机制，加强统筹协调，做好政策解读，营造推动大规模设备更新和消费品以旧换新的良好社会氛围。国家发展改革委要会同有关部门建立工作专班，加强协同配合，强化央地联动。各有关部门要按照职责分工制定具体方案和配套政策，落实部门责任，加强跟踪分析，推动各项任务落实落细。重大事项及时按程序请示报告。</w:t>
      </w:r>
    </w:p>
    <w:p>
      <w:pPr>
        <w:spacing w:line="600" w:lineRule="exact"/>
        <w:rPr>
          <w:rFonts w:ascii="Times New Roman" w:eastAsia="仿宋_GB2312" w:cs="Times New Roman" w:hAnsi="Times New Roman"/>
          <w:sz w:val="32"/>
          <w:szCs w:val="32"/>
        </w:rPr>
      </w:pPr>
    </w:p>
    <w:sectPr>
      <w:footerReference w:type="default" r:id="rId2"/>
      <w:footerReference w:type="even" r:id="rId3"/>
      <w:footerReference w:type="first" r:id="rId4"/>
      <w:pgSz w:w="11906" w:h="16838"/>
      <w:pgMar w:top="2098" w:right="1474" w:bottom="1985" w:left="1588" w:header="567" w:footer="1361"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Nimbus Roman No9 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cs="宋体" w:hAnsi="宋体" w:hint="eastAsia"/>
        <w:sz w:val="28"/>
        <w:szCs w:val="28"/>
      </w:rPr>
    </w:pPr>
    <w:r>
      <w:rPr>
        <w:rStyle w:val="19"/>
        <w:rFonts w:ascii="宋体" w:cs="宋体" w:hAnsi="宋体" w:hint="eastAsia"/>
        <w:sz w:val="28"/>
        <w:szCs w:val="28"/>
      </w:rPr>
      <w:fldChar w:fldCharType="begin"/>
    </w:r>
    <w:r>
      <w:rPr>
        <w:rStyle w:val="19"/>
        <w:rFonts w:ascii="宋体" w:cs="宋体" w:hAnsi="宋体" w:hint="eastAsia"/>
        <w:sz w:val="28"/>
        <w:szCs w:val="28"/>
      </w:rPr>
      <w:instrText>Page</w:instrText>
    </w:r>
    <w:r>
      <w:rPr>
        <w:rStyle w:val="19"/>
        <w:rFonts w:ascii="宋体" w:cs="宋体" w:hAnsi="宋体" w:hint="eastAsia"/>
        <w:sz w:val="28"/>
        <w:szCs w:val="28"/>
      </w:rPr>
      <w:fldChar w:fldCharType="separate"/>
    </w:r>
    <w:r>
      <w:rPr>
        <w:rStyle w:val="19"/>
        <w:rFonts w:ascii="宋体" w:cs="宋体" w:hAnsi="宋体" w:hint="eastAsia"/>
        <w:sz w:val="28"/>
        <w:szCs w:val="28"/>
      </w:rPr>
      <w:t>— 1 —</w:t>
    </w:r>
    <w:r>
      <w:rPr>
        <w:rStyle w:val="19"/>
        <w:rFonts w:ascii="宋体" w:cs="宋体" w:hAnsi="宋体" w:hint="eastAsia"/>
        <w:sz w:val="28"/>
        <w:szCs w:val="28"/>
      </w:rPr>
      <w:fldChar w:fldCharType="end"/>
    </w:r>
  </w:p>
  <w:p>
    <w:pPr>
      <w:pStyle w:val="18"/>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Fonts w:hint="eastAsia"/>
      </w:rPr>
      <w:t>— 1 —</w:t>
    </w:r>
    <w:r>
      <w:rPr>
        <w:rStyle w:val="19"/>
      </w:rPr>
      <w:fldChar w:fldCharType="end"/>
    </w:r>
  </w:p>
  <w:p>
    <w:pPr>
      <w:pStyle w:val="18"/>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Fonts w:hint="eastAsia"/>
      </w:rPr>
      <w:t>— 1 —</w:t>
    </w:r>
    <w:r>
      <w:rPr>
        <w:rStyle w:val="19"/>
      </w:rPr>
      <w:fldChar w:fldCharType="end"/>
    </w:r>
  </w:p>
  <w:p>
    <w:pPr>
      <w:pStyle w:val="18"/>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 w:type="paragraph" w:styleId="17">
    <w:name w:val="header"/>
    <w:basedOn w:val="0"/>
    <w:pPr>
      <w:pBdr>
        <w:bottom w:val="single" w:sz="6" w:space="1" w:color="auto"/>
      </w:pBdr>
      <w:tabs>
        <w:tab w:val="center" w:pos="4153"/>
        <w:tab w:val="right" w:pos="8307"/>
      </w:tabs>
      <w:snapToGrid w:val="0"/>
      <w:jc w:val="center"/>
    </w:pPr>
    <w:rPr>
      <w:sz w:val="18"/>
      <w:szCs w:val="18"/>
    </w:rPr>
  </w:style>
  <w:style w:type="paragraph" w:styleId="18">
    <w:name w:val="footer"/>
    <w:basedOn w:val="0"/>
    <w:pPr>
      <w:tabs>
        <w:tab w:val="center" w:pos="4153"/>
        <w:tab w:val="right" w:pos="8307"/>
      </w:tabs>
      <w:snapToGrid w:val="0"/>
      <w:jc w:val="left"/>
    </w:pPr>
    <w:rPr>
      <w:sz w:val="18"/>
      <w:szCs w:val="18"/>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4ABA3BAF-14FC-4956-A56D-F21B4B50BAD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11</Pages>
  <Words>0</Words>
  <Characters>3795</Characters>
  <Lines>0</Lines>
  <Paragraphs>54</Paragraphs>
  <CharactersWithSpaces>5060</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user</cp:lastModifiedBy>
  <cp:revision>1</cp:revision>
  <dcterms:created xsi:type="dcterms:W3CDTF">2021-05-08T15:28:00Z</dcterms:created>
  <dcterms:modified xsi:type="dcterms:W3CDTF">2024-04-23T07:36:01Z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